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СПРАВКА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о работе с обращениями граждан в администрации Торбеевского муниципального района, администрациях городского и сельских поселений за </w:t>
      </w: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 кв. 2016 года.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Работа с обращениями граждан в органах местного самоуправления Торбеевского муниципального района осуществляется в соответствии с  Федеральным законом от 02.05.2006 № 59-ФЗ «О порядке рассмотрения обращений граждан в РФ» и Решением Совета депутатов Торбеевского муниципального района №285 от 22.06.2007г. «О порядке  рассмотрения и разрешения обращений граждан в ОМС  Торбеевского муниципального района» административным регламентом по предоставлению муниципальной услуги «Организация рассмотрения обращений граждан и личного приема граждан в администрации Торбеевского муниципального района».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 xml:space="preserve">В администрации муниципального района и администрациях поселений сложилась определенная практика работы, направленная на оказание практической помощи заявителям в решении вопросов, а также своевременного и правильного их разрешения.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 xml:space="preserve">Утверждены графики приема граждан по личным вопросам, определены ответственные, обеспечивающие организационную работу с обращениями граждан.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 xml:space="preserve">В администрации района все поступившие предложения, заявления и жалобы граждан регистрируются в общем отделе, рассматриваются главой района и направляются исполнителям, в компетенцию которых входит решение поставленных в обращении вопросов.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sz w:val="24"/>
          <w:szCs w:val="24"/>
        </w:rPr>
        <w:t xml:space="preserve">Вопросы работы с обращениями граждан постоянно держатся на контроле. В центре внимания, в первую очередь, находится повышение качества работы с обращениями граждан.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sz w:val="24"/>
          <w:szCs w:val="24"/>
        </w:rPr>
        <w:t>Установлен ежедневный учет и контроль за выполнением данных поручений по разрешению обращений. На особом контроле находится разрешение повторных обращений и обращений, направленных через вышестоящие органы.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sz w:val="24"/>
          <w:szCs w:val="24"/>
        </w:rPr>
        <w:t xml:space="preserve">Все устные и письменные обращения, требующие дополнительного изучения, рассматриваются с выездом на места с приглашением заявителей для беседы, практикуется рассмотрение обращений комиссионно.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sz w:val="24"/>
          <w:szCs w:val="24"/>
        </w:rPr>
        <w:t xml:space="preserve">За </w:t>
      </w: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 кв. 2016 г. в администрацию района поступило </w:t>
      </w:r>
      <w:r>
        <w:rPr>
          <w:rFonts w:cs="Times New Roman" w:ascii="Times New Roman" w:hAnsi="Times New Roman"/>
          <w:sz w:val="24"/>
          <w:szCs w:val="24"/>
          <w:u w:val="single"/>
        </w:rPr>
        <w:t>262</w:t>
      </w:r>
      <w:r>
        <w:rPr>
          <w:rFonts w:cs="Times New Roman" w:ascii="Times New Roman" w:hAnsi="Times New Roman"/>
          <w:sz w:val="24"/>
          <w:szCs w:val="24"/>
        </w:rPr>
        <w:t xml:space="preserve"> обращения, из них </w:t>
      </w:r>
      <w:r>
        <w:rPr>
          <w:rFonts w:cs="Times New Roman" w:ascii="Times New Roman" w:hAnsi="Times New Roman"/>
          <w:sz w:val="24"/>
          <w:szCs w:val="24"/>
          <w:u w:val="single"/>
        </w:rPr>
        <w:t>9</w:t>
      </w:r>
      <w:r>
        <w:rPr>
          <w:rFonts w:cs="Times New Roman" w:ascii="Times New Roman" w:hAnsi="Times New Roman"/>
          <w:sz w:val="24"/>
          <w:szCs w:val="24"/>
          <w:u w:val="single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 устных, </w:t>
      </w:r>
      <w:r>
        <w:rPr>
          <w:rFonts w:cs="Times New Roman" w:ascii="Times New Roman" w:hAnsi="Times New Roman"/>
          <w:sz w:val="24"/>
          <w:szCs w:val="24"/>
          <w:u w:val="single"/>
        </w:rPr>
        <w:t>165</w:t>
      </w:r>
      <w:r>
        <w:rPr>
          <w:rFonts w:cs="Times New Roman" w:ascii="Times New Roman" w:hAnsi="Times New Roman"/>
          <w:sz w:val="24"/>
          <w:szCs w:val="24"/>
        </w:rPr>
        <w:t xml:space="preserve"> письменных, </w:t>
      </w:r>
      <w:r>
        <w:rPr>
          <w:rFonts w:cs="Times New Roman" w:ascii="Times New Roman" w:hAnsi="Times New Roman"/>
          <w:sz w:val="24"/>
          <w:szCs w:val="24"/>
          <w:u w:val="single"/>
        </w:rPr>
        <w:t>3</w:t>
      </w:r>
      <w:r>
        <w:rPr>
          <w:rFonts w:cs="Times New Roman" w:ascii="Times New Roman" w:hAnsi="Times New Roman"/>
          <w:sz w:val="24"/>
          <w:szCs w:val="24"/>
        </w:rPr>
        <w:t xml:space="preserve"> обращени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cs="Times New Roman" w:ascii="Times New Roman" w:hAnsi="Times New Roman"/>
          <w:sz w:val="24"/>
          <w:szCs w:val="24"/>
        </w:rPr>
        <w:t xml:space="preserve"> поступило через вышестоящие органы власти.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sz w:val="24"/>
          <w:szCs w:val="24"/>
        </w:rPr>
        <w:t xml:space="preserve">Из сельских поселений поступило следующее количество писем и устных обращений: Варжеляйское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; Виндрейское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; Дракинское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14</w:t>
      </w:r>
      <w:r>
        <w:rPr>
          <w:rFonts w:cs="Times New Roman" w:ascii="Times New Roman" w:hAnsi="Times New Roman"/>
          <w:sz w:val="24"/>
          <w:szCs w:val="24"/>
        </w:rPr>
        <w:t xml:space="preserve">; Жуковское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15</w:t>
      </w:r>
      <w:r>
        <w:rPr>
          <w:rFonts w:cs="Times New Roman" w:ascii="Times New Roman" w:hAnsi="Times New Roman"/>
          <w:sz w:val="24"/>
          <w:szCs w:val="24"/>
        </w:rPr>
        <w:t xml:space="preserve">, Кажлодское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9</w:t>
      </w:r>
      <w:r>
        <w:rPr>
          <w:rFonts w:cs="Times New Roman" w:ascii="Times New Roman" w:hAnsi="Times New Roman"/>
          <w:sz w:val="24"/>
          <w:szCs w:val="24"/>
        </w:rPr>
        <w:t xml:space="preserve">; Красноармейское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19</w:t>
      </w:r>
      <w:r>
        <w:rPr>
          <w:rFonts w:cs="Times New Roman" w:ascii="Times New Roman" w:hAnsi="Times New Roman"/>
          <w:sz w:val="24"/>
          <w:szCs w:val="24"/>
        </w:rPr>
        <w:t xml:space="preserve">; Краснопольское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8</w:t>
      </w:r>
      <w:r>
        <w:rPr>
          <w:rFonts w:cs="Times New Roman" w:ascii="Times New Roman" w:hAnsi="Times New Roman"/>
          <w:sz w:val="24"/>
          <w:szCs w:val="24"/>
        </w:rPr>
        <w:t xml:space="preserve">; Лопатинсоке – </w:t>
      </w:r>
      <w:r>
        <w:rPr>
          <w:rFonts w:cs="Times New Roman" w:ascii="Times New Roman" w:hAnsi="Times New Roman"/>
          <w:sz w:val="24"/>
          <w:szCs w:val="24"/>
          <w:u w:val="single"/>
        </w:rPr>
        <w:t>3</w:t>
      </w:r>
      <w:r>
        <w:rPr>
          <w:rFonts w:cs="Times New Roman" w:ascii="Times New Roman" w:hAnsi="Times New Roman"/>
          <w:sz w:val="24"/>
          <w:szCs w:val="24"/>
        </w:rPr>
        <w:t>; Морд-Юнкинское –</w:t>
      </w:r>
      <w:r>
        <w:rPr>
          <w:rFonts w:cs="Times New Roman" w:ascii="Times New Roman" w:hAnsi="Times New Roman"/>
          <w:sz w:val="24"/>
          <w:szCs w:val="24"/>
          <w:u w:val="single"/>
        </w:rPr>
        <w:t>0</w:t>
      </w:r>
      <w:r>
        <w:rPr>
          <w:rFonts w:cs="Times New Roman" w:ascii="Times New Roman" w:hAnsi="Times New Roman"/>
          <w:sz w:val="24"/>
          <w:szCs w:val="24"/>
        </w:rPr>
        <w:t xml:space="preserve">; Никольское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3</w:t>
      </w:r>
      <w:r>
        <w:rPr>
          <w:rFonts w:cs="Times New Roman" w:ascii="Times New Roman" w:hAnsi="Times New Roman"/>
          <w:sz w:val="24"/>
          <w:szCs w:val="24"/>
        </w:rPr>
        <w:t xml:space="preserve">; Салазгорьское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; Сургодьское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3</w:t>
      </w:r>
      <w:r>
        <w:rPr>
          <w:rFonts w:cs="Times New Roman" w:ascii="Times New Roman" w:hAnsi="Times New Roman"/>
          <w:sz w:val="24"/>
          <w:szCs w:val="24"/>
        </w:rPr>
        <w:t>; Ст-Пичурское –</w:t>
      </w:r>
      <w:r>
        <w:rPr>
          <w:rFonts w:cs="Times New Roman" w:ascii="Times New Roman" w:hAnsi="Times New Roman"/>
          <w:sz w:val="24"/>
          <w:szCs w:val="24"/>
          <w:u w:val="single"/>
        </w:rPr>
        <w:t>0</w:t>
      </w:r>
      <w:r>
        <w:rPr>
          <w:rFonts w:cs="Times New Roman" w:ascii="Times New Roman" w:hAnsi="Times New Roman"/>
          <w:sz w:val="24"/>
          <w:szCs w:val="24"/>
          <w:u w:val="single"/>
        </w:rPr>
        <w:t>;</w:t>
      </w:r>
      <w:r>
        <w:rPr>
          <w:rFonts w:cs="Times New Roman" w:ascii="Times New Roman" w:hAnsi="Times New Roman"/>
          <w:sz w:val="24"/>
          <w:szCs w:val="24"/>
        </w:rPr>
        <w:t xml:space="preserve"> Тат-Юнкинское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; Хилковское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13</w:t>
      </w:r>
      <w:r>
        <w:rPr>
          <w:rFonts w:cs="Times New Roman" w:ascii="Times New Roman" w:hAnsi="Times New Roman"/>
          <w:sz w:val="24"/>
          <w:szCs w:val="24"/>
        </w:rPr>
        <w:t xml:space="preserve">; Торбеевское городское поселение – </w:t>
      </w:r>
      <w:r>
        <w:rPr>
          <w:rFonts w:cs="Times New Roman" w:ascii="Times New Roman" w:hAnsi="Times New Roman"/>
          <w:sz w:val="24"/>
          <w:szCs w:val="24"/>
          <w:u w:val="single"/>
        </w:rPr>
        <w:t>1</w:t>
      </w:r>
      <w:r>
        <w:rPr>
          <w:rFonts w:cs="Times New Roman" w:ascii="Times New Roman" w:hAnsi="Times New Roman"/>
          <w:sz w:val="24"/>
          <w:szCs w:val="24"/>
          <w:u w:val="single"/>
        </w:rPr>
        <w:t>46</w:t>
      </w:r>
      <w:r>
        <w:rPr>
          <w:rFonts w:cs="Times New Roman" w:ascii="Times New Roman" w:hAnsi="Times New Roman"/>
          <w:sz w:val="24"/>
          <w:szCs w:val="24"/>
        </w:rPr>
        <w:t xml:space="preserve">, иные населенные пункты – </w:t>
      </w:r>
      <w:r>
        <w:rPr>
          <w:rFonts w:cs="Times New Roman" w:ascii="Times New Roman" w:hAnsi="Times New Roman"/>
          <w:sz w:val="24"/>
          <w:szCs w:val="24"/>
          <w:u w:val="single"/>
        </w:rPr>
        <w:t>15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sz w:val="24"/>
          <w:szCs w:val="24"/>
        </w:rPr>
        <w:t xml:space="preserve">Наибольшее количество обращений, поступивших в администрацию района, это </w:t>
      </w:r>
      <w:r>
        <w:rPr>
          <w:rFonts w:cs="Times New Roman" w:ascii="Times New Roman" w:hAnsi="Times New Roman"/>
          <w:sz w:val="24"/>
          <w:szCs w:val="24"/>
        </w:rPr>
        <w:t xml:space="preserve">обращение по </w:t>
      </w:r>
      <w:r>
        <w:rPr>
          <w:rFonts w:cs="Times New Roman" w:ascii="Times New Roman" w:hAnsi="Times New Roman"/>
          <w:sz w:val="24"/>
          <w:szCs w:val="24"/>
        </w:rPr>
        <w:t>земельным</w:t>
      </w:r>
      <w:r>
        <w:rPr>
          <w:rFonts w:cs="Times New Roman" w:ascii="Times New Roman" w:hAnsi="Times New Roman"/>
          <w:sz w:val="24"/>
          <w:szCs w:val="24"/>
        </w:rPr>
        <w:t xml:space="preserve"> вопросам</w:t>
      </w:r>
      <w:r>
        <w:rPr>
          <w:rFonts w:cs="Times New Roman" w:ascii="Times New Roman" w:hAnsi="Times New Roman"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  <w:u w:val="single"/>
        </w:rPr>
        <w:t>1</w:t>
      </w:r>
      <w:r>
        <w:rPr>
          <w:rFonts w:cs="Times New Roman" w:ascii="Times New Roman" w:hAnsi="Times New Roman"/>
          <w:sz w:val="24"/>
          <w:szCs w:val="24"/>
          <w:u w:val="single"/>
        </w:rPr>
        <w:t>00</w:t>
      </w:r>
      <w:r>
        <w:rPr>
          <w:rFonts w:cs="Times New Roman" w:ascii="Times New Roman" w:hAnsi="Times New Roman"/>
          <w:sz w:val="24"/>
          <w:szCs w:val="24"/>
        </w:rPr>
        <w:t xml:space="preserve">. 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sz w:val="24"/>
          <w:szCs w:val="24"/>
        </w:rPr>
        <w:t xml:space="preserve">Второе место занимают обращения по </w:t>
      </w:r>
      <w:r>
        <w:rPr>
          <w:rFonts w:cs="Times New Roman" w:ascii="Times New Roman" w:hAnsi="Times New Roman"/>
          <w:sz w:val="24"/>
          <w:szCs w:val="24"/>
        </w:rPr>
        <w:t>иным проблемам</w:t>
      </w:r>
      <w:r>
        <w:rPr>
          <w:rFonts w:cs="Times New Roman" w:ascii="Times New Roman" w:hAnsi="Times New Roman"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  <w:u w:val="single"/>
        </w:rPr>
        <w:t>72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sz w:val="24"/>
          <w:szCs w:val="24"/>
        </w:rPr>
        <w:t xml:space="preserve">Третье место занимают обращения по </w:t>
      </w:r>
      <w:r>
        <w:rPr>
          <w:rFonts w:cs="Times New Roman" w:ascii="Times New Roman" w:hAnsi="Times New Roman"/>
          <w:sz w:val="24"/>
          <w:szCs w:val="24"/>
        </w:rPr>
        <w:t>жилищным</w:t>
      </w:r>
      <w:r>
        <w:rPr>
          <w:rFonts w:cs="Times New Roman" w:ascii="Times New Roman" w:hAnsi="Times New Roman"/>
          <w:sz w:val="24"/>
          <w:szCs w:val="24"/>
        </w:rPr>
        <w:t xml:space="preserve"> вопросам – </w:t>
      </w:r>
      <w:r>
        <w:rPr>
          <w:rFonts w:cs="Times New Roman" w:ascii="Times New Roman" w:hAnsi="Times New Roman"/>
          <w:sz w:val="24"/>
          <w:szCs w:val="24"/>
          <w:u w:val="single"/>
        </w:rPr>
        <w:t>32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Таблица 1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Распределение обращений граждан по поселениям муниципального района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W w:w="9631" w:type="dxa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648"/>
        <w:gridCol w:w="3240"/>
        <w:gridCol w:w="1912"/>
        <w:gridCol w:w="1914"/>
        <w:gridCol w:w="1917"/>
      </w:tblGrid>
      <w:tr>
        <w:trPr/>
        <w:tc>
          <w:tcPr>
            <w:tcW w:w="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24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поселения</w:t>
            </w:r>
          </w:p>
        </w:tc>
        <w:tc>
          <w:tcPr>
            <w:tcW w:w="574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Количество обращений</w:t>
            </w:r>
          </w:p>
        </w:tc>
      </w:tr>
      <w:tr>
        <w:trPr/>
        <w:tc>
          <w:tcPr>
            <w:tcW w:w="64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4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отчетный период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кв. 2016г.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предыдущий период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кв. 201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 к предыдущему периоду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Варжеляйское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0,4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Виндрейское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Дракинское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Жуковское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0,3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Кажлодское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2,25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Красноармейское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6,3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Краснопольское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Лопатинское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0,75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Морд-Юнкинское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Никольское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0,75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Салазгорьское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0,2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Сургодьское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Ст-Пичурское с/п 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Тат-Юнкинское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Хилковское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1,4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Торбеевское г/п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0,93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Иные населенные пункты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0,63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Таблица 2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Темы обращений граждан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688" w:type="dxa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648"/>
        <w:gridCol w:w="3960"/>
        <w:gridCol w:w="1506"/>
        <w:gridCol w:w="1914"/>
        <w:gridCol w:w="1660"/>
      </w:tblGrid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отчетный период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кв. 2016г.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предыдущий период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кв. 201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 к предыдущему периоду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1,25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0,73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Водоснабжение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>
          <w:trHeight w:val="270" w:hRule="atLeast"/>
        </w:trPr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Благоустройство территории;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>
          <w:trHeight w:val="270" w:hRule="atLeast"/>
        </w:trPr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0,15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2,3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Жалобы граждан*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Транспортное сообщение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Опекунство и попечительство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Земельный вопрос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0,87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Обращение по иным проблемам. 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0,62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* На работу органов власти и учреждений, оказывающих услуги населению, их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руководителей и сотрудников.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Ari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LibreOffice/5.0.4.2$Windows_x86 LibreOffice_project/2b9802c1994aa0b7dc6079e128979269cf95bc78</Application>
  <Paragraphs>213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2017-01-10T16:27:56Z</dcterms:created>
  <dc:language>ru-RU</dc:language>
  <dcterms:modified xsi:type="dcterms:W3CDTF">2017-01-10T16:36:55Z</dcterms:modified>
  <cp:revision>1</cp:revision>
</cp:coreProperties>
</file>