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D72" w:rsidRDefault="008D3D72" w:rsidP="008D3D72">
      <w:pPr>
        <w:spacing w:after="0" w:line="240" w:lineRule="auto"/>
        <w:jc w:val="center"/>
        <w:rPr>
          <w:rFonts w:ascii="Times New Roman" w:eastAsia="Times New Roman" w:hAnsi="Times New Roman" w:cs="Times New Roman"/>
          <w:b/>
          <w:bCs/>
          <w:sz w:val="28"/>
          <w:szCs w:val="28"/>
          <w:lang w:eastAsia="ru-RU"/>
        </w:rPr>
      </w:pPr>
      <w:bookmarkStart w:id="0" w:name="_GoBack"/>
      <w:bookmarkEnd w:id="0"/>
      <w:r>
        <w:rPr>
          <w:rFonts w:ascii="Times New Roman" w:eastAsia="Times New Roman" w:hAnsi="Times New Roman" w:cs="Times New Roman"/>
          <w:b/>
          <w:bCs/>
          <w:sz w:val="28"/>
          <w:szCs w:val="28"/>
          <w:lang w:eastAsia="ru-RU"/>
        </w:rPr>
        <w:t>Рекомендации по заполнению справок о доходах.</w:t>
      </w:r>
    </w:p>
    <w:p w:rsidR="008D3D72" w:rsidRDefault="008D3D72" w:rsidP="008D3D72">
      <w:pPr>
        <w:spacing w:after="0" w:line="240" w:lineRule="auto"/>
        <w:jc w:val="both"/>
        <w:rPr>
          <w:rFonts w:ascii="Times New Roman" w:eastAsia="Times New Roman" w:hAnsi="Times New Roman" w:cs="Times New Roman"/>
          <w:b/>
          <w:bCs/>
          <w:sz w:val="28"/>
          <w:szCs w:val="28"/>
          <w:lang w:eastAsia="ru-RU"/>
        </w:rPr>
      </w:pPr>
    </w:p>
    <w:p w:rsidR="008D3D72" w:rsidRDefault="00BD1420" w:rsidP="008D3D72">
      <w:pPr>
        <w:spacing w:after="0" w:line="240" w:lineRule="auto"/>
        <w:ind w:left="708"/>
        <w:jc w:val="center"/>
        <w:rPr>
          <w:rFonts w:ascii="Times New Roman" w:eastAsia="Times New Roman" w:hAnsi="Times New Roman" w:cs="Times New Roman"/>
          <w:sz w:val="28"/>
          <w:szCs w:val="28"/>
          <w:lang w:eastAsia="ru-RU"/>
        </w:rPr>
      </w:pPr>
      <w:r w:rsidRPr="00BD1420">
        <w:rPr>
          <w:rFonts w:ascii="Times New Roman" w:eastAsia="Times New Roman" w:hAnsi="Times New Roman" w:cs="Times New Roman"/>
          <w:b/>
          <w:bCs/>
          <w:sz w:val="28"/>
          <w:szCs w:val="28"/>
          <w:lang w:eastAsia="ru-RU"/>
        </w:rPr>
        <w:t>Раздел 1. Сведения о доходах</w:t>
      </w:r>
      <w:r w:rsidRPr="00BD1420">
        <w:rPr>
          <w:rFonts w:ascii="Times New Roman" w:eastAsia="Times New Roman" w:hAnsi="Times New Roman" w:cs="Times New Roman"/>
          <w:sz w:val="28"/>
          <w:szCs w:val="28"/>
          <w:lang w:eastAsia="ru-RU"/>
        </w:rPr>
        <w:br/>
      </w:r>
    </w:p>
    <w:p w:rsidR="00BD1420" w:rsidRPr="00BD1420" w:rsidRDefault="00BD1420" w:rsidP="008D3D72">
      <w:pPr>
        <w:spacing w:after="0" w:line="240" w:lineRule="auto"/>
        <w:ind w:firstLine="708"/>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В соответствии со статьей 41 части 1 Налогового кодекса Российской Федерации доходом признается экономическая выгода в денежной или натуральной форме (оплата (полностью или частично) за налогоплательщика организациями или индивидуальными предпринимателями товаров (работ, услуг) или имущественных прав, в том числе коммунальных услуг, питания, отдыха, обучения в интересах налогоплательщика: полученные налогоплательщиком товары, выполненные в интересах налогоплательщика работы, оказанные в интересах налогоплательщика услуги</w:t>
      </w:r>
      <w:proofErr w:type="gramEnd"/>
      <w:r w:rsidRPr="00BD1420">
        <w:rPr>
          <w:rFonts w:ascii="Times New Roman" w:eastAsia="Times New Roman" w:hAnsi="Times New Roman" w:cs="Times New Roman"/>
          <w:sz w:val="28"/>
          <w:szCs w:val="28"/>
          <w:lang w:eastAsia="ru-RU"/>
        </w:rPr>
        <w:t xml:space="preserve"> на безвозмездной основе или с частичной оплатой: оплата труда в натуральной форме), учитываемая в случае возможности ее оценки и в той мере, в которой такую выгоду можно оценить, и определяемая в соответствии с главами «Налог на доходы физических лиц», «Налог на прибыль организаций» Налогового кодекса Российской Федерации. </w:t>
      </w:r>
      <w:proofErr w:type="gramStart"/>
      <w:r w:rsidRPr="00BD1420">
        <w:rPr>
          <w:rFonts w:ascii="Times New Roman" w:eastAsia="Times New Roman" w:hAnsi="Times New Roman" w:cs="Times New Roman"/>
          <w:sz w:val="28"/>
          <w:szCs w:val="28"/>
          <w:lang w:eastAsia="ru-RU"/>
        </w:rPr>
        <w:t>Согласно пункта</w:t>
      </w:r>
      <w:proofErr w:type="gramEnd"/>
      <w:r w:rsidRPr="00BD1420">
        <w:rPr>
          <w:rFonts w:ascii="Times New Roman" w:eastAsia="Times New Roman" w:hAnsi="Times New Roman" w:cs="Times New Roman"/>
          <w:sz w:val="28"/>
          <w:szCs w:val="28"/>
          <w:lang w:eastAsia="ru-RU"/>
        </w:rPr>
        <w:t xml:space="preserve"> 9 части 1 статьи 15 Федерального закона № 79-ФЗ «О государственной гражданской службе Российской Федерации» гражданский служащий подает сведения о доходах, полученных от источников в Российской Федерации или от источников за пределами Российской Федерации, подлежащих налогообложению.</w:t>
      </w:r>
    </w:p>
    <w:p w:rsidR="001F73F0" w:rsidRDefault="00BD1420" w:rsidP="00867095">
      <w:pPr>
        <w:spacing w:after="0" w:line="240" w:lineRule="auto"/>
        <w:ind w:firstLine="709"/>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В соответствии с частью 1 статьи 210 части 2 Налогового кодекса Российской Федерации при определении налоговой базы учитываются все доходы налогоплательщика, полученные им как в денежной, так и в натуральной формах, или право на распоряжение, которыми у него возникло, а также доходы в виде материальной выгоды, определяемой в соответствии со статьей 212 настоящего Кодекса.</w:t>
      </w:r>
      <w:proofErr w:type="gramEnd"/>
      <w:r w:rsidRPr="00BD1420">
        <w:rPr>
          <w:rFonts w:ascii="Times New Roman" w:eastAsia="Times New Roman" w:hAnsi="Times New Roman" w:cs="Times New Roman"/>
          <w:sz w:val="28"/>
          <w:szCs w:val="28"/>
          <w:lang w:eastAsia="ru-RU"/>
        </w:rPr>
        <w:t xml:space="preserve"> Открытый перечень доходов от источников в Российской Федерации и от источников за пределами Российской Федерации, подлежащих налогообложению, установлен статьей 208 части 2 Налогового кодекса Российской Федерации. </w:t>
      </w:r>
    </w:p>
    <w:p w:rsidR="001F73F0"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пункте 1 «Доход по основному месту работы» указывается сумма, согласно справке с места работы по форме 2-НДФЛ. В случае изменения основного места работы в течение отчётного периода, в указанном пункте необходимо указывать сведения о полученных доходах с разбивкой по основным местам работы с указанием периодов работы в этих организациях, на основании представленных работодателями справок по форме 2-НДФЛ.</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пункте 2 «Доход от педагогической деятельности» указывается общая сумма дохода, полученная со всех мест преподавания по справке 2- НДФЛ (аналогично указывается доход, полученный гражданским служащим от научной</w:t>
      </w:r>
      <w:r w:rsidR="00272A4E">
        <w:rPr>
          <w:rFonts w:ascii="Times New Roman" w:eastAsia="Times New Roman" w:hAnsi="Times New Roman" w:cs="Times New Roman"/>
          <w:sz w:val="28"/>
          <w:szCs w:val="28"/>
          <w:lang w:eastAsia="ru-RU"/>
        </w:rPr>
        <w:t xml:space="preserve"> </w:t>
      </w:r>
      <w:r w:rsidRPr="00BD1420">
        <w:rPr>
          <w:rFonts w:ascii="Times New Roman" w:eastAsia="Times New Roman" w:hAnsi="Times New Roman" w:cs="Times New Roman"/>
          <w:sz w:val="28"/>
          <w:szCs w:val="28"/>
          <w:lang w:eastAsia="ru-RU"/>
        </w:rPr>
        <w:t>деятельности).</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Пункт 4 «Доход от иной творческой деятельности» включает доходы, полученные гражданским служащим в разных сферах творческой деятельности (технической, художественной, публицистической и т.д.). Пункт 5 «Доход от вкладов в банках и иных кредитных организациях». </w:t>
      </w:r>
      <w:r w:rsidRPr="00BD1420">
        <w:rPr>
          <w:rFonts w:ascii="Times New Roman" w:eastAsia="Times New Roman" w:hAnsi="Times New Roman" w:cs="Times New Roman"/>
          <w:sz w:val="28"/>
          <w:szCs w:val="28"/>
          <w:lang w:eastAsia="ru-RU"/>
        </w:rPr>
        <w:lastRenderedPageBreak/>
        <w:t>Банковский вклад - денежные средства в валюте Российской Федерации или иностранной валюте, размещаемые физическими лицами в целях хранения и получения дохода. Доход по вкладу выплачивается в денежной форме в виде процентов. Величина дохода по банковскому вкладу определяется исходя из процентной ставки по вкладу, определенной в «договоре вклада». Величина дохода по вкладу подтверждается документом, выданным соответствующим банком. Под «иной кредитной организацией» понимается юридическое лицо, которое для извлечения прибыли как основной цели своей деятельности на основании специального разрешения (лицензии) Центрального банка Российской Федерации (Банка России) имеет право осуществлять банковские операции, предусмотренные Федеральным законом «О банках и банковской деятельности». Величина дохода по вкладу подтверждается документом, выданным соответствующей кредитной организацией.</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Пункт 6 «Доход от ценных бумаг и долей участия в коммерческих организациях». </w:t>
      </w:r>
      <w:proofErr w:type="gramStart"/>
      <w:r w:rsidRPr="00BD1420">
        <w:rPr>
          <w:rFonts w:ascii="Times New Roman" w:eastAsia="Times New Roman" w:hAnsi="Times New Roman" w:cs="Times New Roman"/>
          <w:sz w:val="28"/>
          <w:szCs w:val="28"/>
          <w:lang w:eastAsia="ru-RU"/>
        </w:rPr>
        <w:t>Согласно статьи</w:t>
      </w:r>
      <w:proofErr w:type="gramEnd"/>
      <w:r w:rsidRPr="00BD1420">
        <w:rPr>
          <w:rFonts w:ascii="Times New Roman" w:eastAsia="Times New Roman" w:hAnsi="Times New Roman" w:cs="Times New Roman"/>
          <w:sz w:val="28"/>
          <w:szCs w:val="28"/>
          <w:lang w:eastAsia="ru-RU"/>
        </w:rPr>
        <w:t xml:space="preserve"> 143 Гражданского кодекса Российской Федерации к ценным бумагам относятся: облигация, вексель, депозитный и сберегательный сертификаты, акция, приватизационные ценные бумаги и другие документы, которые законами о ценных бумагах или в установленном ими порядке отнесены к числу ценных бумаг. </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b/>
          <w:bCs/>
          <w:sz w:val="28"/>
          <w:szCs w:val="28"/>
          <w:lang w:eastAsia="ru-RU"/>
        </w:rPr>
        <w:t>Следует обратить особое внимание</w:t>
      </w:r>
      <w:r w:rsidRPr="00BD1420">
        <w:rPr>
          <w:rFonts w:ascii="Times New Roman" w:eastAsia="Times New Roman" w:hAnsi="Times New Roman" w:cs="Times New Roman"/>
          <w:sz w:val="28"/>
          <w:szCs w:val="28"/>
          <w:lang w:eastAsia="ru-RU"/>
        </w:rPr>
        <w:t>, что согласно п.4 ч.1 ст.17 Федерального закона от 27 июля 2004 года № 79-ФЗ «О государственной гражданской службе Российской Федерации» в связи с прохождением гражданской службы, гражданскому служащему запрещается приобретать в случаях, установленных федеральным законом, ценные бумаги, по которым может быть получен доход.</w:t>
      </w:r>
      <w:r w:rsidR="00272A4E">
        <w:rPr>
          <w:rFonts w:ascii="Times New Roman" w:eastAsia="Times New Roman" w:hAnsi="Times New Roman" w:cs="Times New Roman"/>
          <w:sz w:val="28"/>
          <w:szCs w:val="28"/>
          <w:lang w:eastAsia="ru-RU"/>
        </w:rPr>
        <w:t xml:space="preserve"> </w:t>
      </w:r>
      <w:r w:rsidRPr="00BD1420">
        <w:rPr>
          <w:rFonts w:ascii="Times New Roman" w:eastAsia="Times New Roman" w:hAnsi="Times New Roman" w:cs="Times New Roman"/>
          <w:sz w:val="28"/>
          <w:szCs w:val="28"/>
          <w:lang w:eastAsia="ru-RU"/>
        </w:rPr>
        <w:t xml:space="preserve">Частью 6 статьи 11 Федерального закона от 25 декабря 2008 года № 273-ФЗ «О противодействии коррупции» установлена обязанность гражданского служащего в целях предотвращения конфликта интересов </w:t>
      </w:r>
      <w:proofErr w:type="gramStart"/>
      <w:r w:rsidRPr="00BD1420">
        <w:rPr>
          <w:rFonts w:ascii="Times New Roman" w:eastAsia="Times New Roman" w:hAnsi="Times New Roman" w:cs="Times New Roman"/>
          <w:sz w:val="28"/>
          <w:szCs w:val="28"/>
          <w:lang w:eastAsia="ru-RU"/>
        </w:rPr>
        <w:t>передать</w:t>
      </w:r>
      <w:proofErr w:type="gramEnd"/>
      <w:r w:rsidRPr="00BD1420">
        <w:rPr>
          <w:rFonts w:ascii="Times New Roman" w:eastAsia="Times New Roman" w:hAnsi="Times New Roman" w:cs="Times New Roman"/>
          <w:sz w:val="28"/>
          <w:szCs w:val="28"/>
          <w:lang w:eastAsia="ru-RU"/>
        </w:rPr>
        <w:t xml:space="preserve"> принадлежащие ему ценные бумаги, акции (доли участия, паи в уставных (складочных) капиталах организаций) в доверительное управление в соответствии с законодательством Российской Федерации. Под «долей участия» в акционерных обществах понимается владение акциями коммерческой организации, дающих право на получение дивиденда (дохода), при условии, что владение акциями не приведет к конфликту интересов. Доходность ценных бумаг - отношение годового дохода по ценной бумаге к ее рыночной цене; норма прибыли, получаемая владельцем ценной бумаги. До определения порядка передачи ценных бумаг в доверительное управление, в соответствии с Протоколом совещания у заместителя Министра здравоохранения и социального развития от 20.12.2011 №4/17/74 гражданский служащий может владеть ценными бумагами, акциями (долями, паями в уставных (складочных) капиталах организаций), если это не приводит к конфликту интересов.</w:t>
      </w:r>
      <w:r w:rsidR="00272A4E">
        <w:rPr>
          <w:rFonts w:ascii="Times New Roman" w:eastAsia="Times New Roman" w:hAnsi="Times New Roman" w:cs="Times New Roman"/>
          <w:sz w:val="28"/>
          <w:szCs w:val="28"/>
          <w:lang w:eastAsia="ru-RU"/>
        </w:rPr>
        <w:t xml:space="preserve"> </w:t>
      </w:r>
      <w:proofErr w:type="gramStart"/>
      <w:r w:rsidRPr="00BD1420">
        <w:rPr>
          <w:rFonts w:ascii="Times New Roman" w:eastAsia="Times New Roman" w:hAnsi="Times New Roman" w:cs="Times New Roman"/>
          <w:sz w:val="28"/>
          <w:szCs w:val="28"/>
          <w:lang w:eastAsia="ru-RU"/>
        </w:rPr>
        <w:t xml:space="preserve">При принятии комиссией по соблюдению требований к служебному поведению федеральных государственных служащих и урегулированию конфликта интересов, руководителем государственного органа решения о </w:t>
      </w:r>
      <w:r w:rsidRPr="00BD1420">
        <w:rPr>
          <w:rFonts w:ascii="Times New Roman" w:eastAsia="Times New Roman" w:hAnsi="Times New Roman" w:cs="Times New Roman"/>
          <w:sz w:val="28"/>
          <w:szCs w:val="28"/>
          <w:lang w:eastAsia="ru-RU"/>
        </w:rPr>
        <w:lastRenderedPageBreak/>
        <w:t>необходимости передачи государственным служащим ценных бумаг, акций (долей участия, паев в уставных (складочных) капиталах организаций) в доверительное управление, передача указанных ценных бумаг производится в соответствии с Гражданским кодексом Российской Федерации на основании договора доверительного управления имуществом (пункт 1 статьи</w:t>
      </w:r>
      <w:proofErr w:type="gramEnd"/>
      <w:r w:rsidRPr="00BD1420">
        <w:rPr>
          <w:rFonts w:ascii="Times New Roman" w:eastAsia="Times New Roman" w:hAnsi="Times New Roman" w:cs="Times New Roman"/>
          <w:sz w:val="28"/>
          <w:szCs w:val="28"/>
          <w:lang w:eastAsia="ru-RU"/>
        </w:rPr>
        <w:t xml:space="preserve"> </w:t>
      </w:r>
      <w:proofErr w:type="gramStart"/>
      <w:r w:rsidRPr="00BD1420">
        <w:rPr>
          <w:rFonts w:ascii="Times New Roman" w:eastAsia="Times New Roman" w:hAnsi="Times New Roman" w:cs="Times New Roman"/>
          <w:sz w:val="28"/>
          <w:szCs w:val="28"/>
          <w:lang w:eastAsia="ru-RU"/>
        </w:rPr>
        <w:t>1012 Гражданского кодекса Российской Федерации).</w:t>
      </w:r>
      <w:proofErr w:type="gramEnd"/>
      <w:r w:rsidR="00272A4E">
        <w:rPr>
          <w:rFonts w:ascii="Times New Roman" w:eastAsia="Times New Roman" w:hAnsi="Times New Roman" w:cs="Times New Roman"/>
          <w:sz w:val="28"/>
          <w:szCs w:val="28"/>
          <w:lang w:eastAsia="ru-RU"/>
        </w:rPr>
        <w:t xml:space="preserve">  </w:t>
      </w:r>
      <w:r w:rsidRPr="00BD1420">
        <w:rPr>
          <w:rFonts w:ascii="Times New Roman" w:eastAsia="Times New Roman" w:hAnsi="Times New Roman" w:cs="Times New Roman"/>
          <w:sz w:val="28"/>
          <w:szCs w:val="28"/>
          <w:lang w:eastAsia="ru-RU"/>
        </w:rPr>
        <w:t>В пункте 7 «Иные доходы (указать вид дохода)». Данная позиция включает в себя все виды доходов, которые не были отражены выше, в том числе:</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денежные средства, полученные от страховой компании на ремонт автотранспортного</w:t>
      </w:r>
      <w:r w:rsidR="00D74C6F">
        <w:rPr>
          <w:rFonts w:ascii="Times New Roman" w:eastAsia="Times New Roman" w:hAnsi="Times New Roman" w:cs="Times New Roman"/>
          <w:sz w:val="28"/>
          <w:szCs w:val="28"/>
          <w:lang w:eastAsia="ru-RU"/>
        </w:rPr>
        <w:t xml:space="preserve"> </w:t>
      </w:r>
      <w:r w:rsidRPr="00BD1420">
        <w:rPr>
          <w:rFonts w:ascii="Times New Roman" w:eastAsia="Times New Roman" w:hAnsi="Times New Roman" w:cs="Times New Roman"/>
          <w:sz w:val="28"/>
          <w:szCs w:val="28"/>
          <w:lang w:eastAsia="ru-RU"/>
        </w:rPr>
        <w:t>средства;</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материнский капитал по факту перечисления денежных средств на счет гражданского служащего (его супруги);</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социальные выплаты в денежной форме (замена скидок по оплате жилого помещения, коммунальных услуг и услуг связи), представляемые отдельным категориям граждан;</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денежные средства, выплаченные (перечисленные на счет) взамен выдачи полагающегося натурального довольствия;</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стипендии учащихся студентов, аспирантов и т.д.</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сведения о доходах по долгосрочным вкладам, с условием начисления процентов в конце срока вклада, а также с условием досрочного расторжения вклада с иным процентным накоплением вносятся в Справку по фактическому поступлению их в отчетном периоде (Протокол совещания у заместителя Министра здравоохранения и социального развития от 18.03.2011 №17-1/460).</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Обращаем внимание, что соответствии с пунктом 36 статьи 217 Налогового кодекса Российской Федерации единовременная субсидия, предоставленная на приобретение жилого помещения гражданскому служащему на основании постановления Правительства Российской Федерации от 27 января 2009 года № 63, является доходом, </w:t>
      </w:r>
      <w:proofErr w:type="gramStart"/>
      <w:r w:rsidRPr="00BD1420">
        <w:rPr>
          <w:rFonts w:ascii="Times New Roman" w:eastAsia="Times New Roman" w:hAnsi="Times New Roman" w:cs="Times New Roman"/>
          <w:sz w:val="28"/>
          <w:szCs w:val="28"/>
          <w:lang w:eastAsia="ru-RU"/>
        </w:rPr>
        <w:t>и</w:t>
      </w:r>
      <w:proofErr w:type="gramEnd"/>
      <w:r w:rsidRPr="00BD1420">
        <w:rPr>
          <w:rFonts w:ascii="Times New Roman" w:eastAsia="Times New Roman" w:hAnsi="Times New Roman" w:cs="Times New Roman"/>
          <w:sz w:val="28"/>
          <w:szCs w:val="28"/>
          <w:lang w:eastAsia="ru-RU"/>
        </w:rPr>
        <w:t xml:space="preserve"> следовательно, размер единовременной субсидии указывается в пункте 7 раздела 1 Справки. </w:t>
      </w:r>
    </w:p>
    <w:p w:rsidR="00272A4E"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Внесение соответствующих сведений в Справку производится в тот отчетный период, в котором денежные средства перечислены со счета № 40302 на счет продавца (физического лица (юридического лица, индивидуального предпринимателя), осуществляющего отчуждение жилого помещения и доходы от сдачи в аренду недвижимого имущества и транспортных средств;</w:t>
      </w:r>
    </w:p>
    <w:p w:rsidR="00BD1420" w:rsidRPr="00BD1420" w:rsidRDefault="00BD1420" w:rsidP="00867095">
      <w:pPr>
        <w:spacing w:after="0" w:line="240" w:lineRule="auto"/>
        <w:ind w:firstLine="709"/>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пункте 8 «Итого доход за отчетный период» указывается суммарная величина дохода. Доход, полученный в иностранной валюте, указывается в рублях по курсу Банка России на дату получения дохода.</w:t>
      </w:r>
    </w:p>
    <w:p w:rsidR="008D3D72" w:rsidRDefault="00BD1420" w:rsidP="008D3D72">
      <w:pPr>
        <w:spacing w:after="0" w:line="240" w:lineRule="auto"/>
        <w:jc w:val="center"/>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b/>
          <w:bCs/>
          <w:sz w:val="28"/>
          <w:szCs w:val="28"/>
          <w:lang w:eastAsia="ru-RU"/>
        </w:rPr>
        <w:t>Раздел 2. Сведения об имуществе</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данном разделе указывается только имущество, находящееся в собственности и являющееся объектом налогообложения.</w:t>
      </w:r>
    </w:p>
    <w:p w:rsidR="00BA515C" w:rsidRPr="00B249B1" w:rsidRDefault="00BD1420" w:rsidP="00B249B1">
      <w:pPr>
        <w:spacing w:after="0" w:line="240" w:lineRule="auto"/>
        <w:jc w:val="center"/>
        <w:rPr>
          <w:rFonts w:ascii="Times New Roman" w:eastAsia="Times New Roman" w:hAnsi="Times New Roman" w:cs="Times New Roman"/>
          <w:b/>
          <w:sz w:val="28"/>
          <w:szCs w:val="28"/>
          <w:u w:val="single"/>
          <w:lang w:eastAsia="ru-RU"/>
        </w:rPr>
      </w:pPr>
      <w:r w:rsidRPr="00BD1420">
        <w:rPr>
          <w:rFonts w:ascii="Times New Roman" w:eastAsia="Times New Roman" w:hAnsi="Times New Roman" w:cs="Times New Roman"/>
          <w:b/>
          <w:sz w:val="28"/>
          <w:szCs w:val="28"/>
          <w:u w:val="single"/>
          <w:lang w:eastAsia="ru-RU"/>
        </w:rPr>
        <w:t>2.1. Недвижимое имущество</w:t>
      </w:r>
    </w:p>
    <w:p w:rsidR="00BA515C" w:rsidRDefault="00BD1420" w:rsidP="00D74C6F">
      <w:pPr>
        <w:spacing w:after="0" w:line="240" w:lineRule="auto"/>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sz w:val="28"/>
          <w:szCs w:val="28"/>
          <w:lang w:eastAsia="ru-RU"/>
        </w:rPr>
        <w:lastRenderedPageBreak/>
        <w:t>Согласно статье 130 Гражданского кодекса Российской Федерации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w:t>
      </w:r>
      <w:r w:rsidRPr="00BD1420">
        <w:rPr>
          <w:rFonts w:ascii="Times New Roman" w:eastAsia="Times New Roman" w:hAnsi="Times New Roman" w:cs="Times New Roman"/>
          <w:sz w:val="28"/>
          <w:szCs w:val="28"/>
          <w:lang w:eastAsia="ru-RU"/>
        </w:rPr>
        <w:br/>
      </w:r>
      <w:r w:rsidRPr="00BD1420">
        <w:rPr>
          <w:rFonts w:ascii="Times New Roman" w:eastAsia="Times New Roman" w:hAnsi="Times New Roman" w:cs="Times New Roman"/>
          <w:i/>
          <w:iCs/>
          <w:sz w:val="28"/>
          <w:szCs w:val="28"/>
          <w:lang w:eastAsia="ru-RU"/>
        </w:rPr>
        <w:t>Графа 2 «Вид и наименование имущества»</w:t>
      </w:r>
    </w:p>
    <w:p w:rsidR="00BA515C"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пункте 1 «Земельные участки» указывается вид земельного участка. Согласно статье 11.1 Земельного кодекса Российской Федерации земельным участком является часть земной поверхности, границы которой определены в соответствии с федеральными законами. К основным видам использования земельных участков относятся: </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земельный участок под индивидуальное жилищное строительство. Объектами индивидуального жилищного строительства являются дома, предназначенные для индивидуального проживания гражданина (нескольких граждан, семьи), и объекты малоэтажного строительства с количеством этажей не более трех.</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земельный участок под многоквартирным домом и иными входящими в состав такого дома объектами недвижимого имущества. Согласно части 1 статьи 16 Федерального закона от 29 декабря 2004 года № 189-ФЗ «О введении в действие Жилищного кодекса Российской Федерации» земельный участок, на котором расположены многоквартирный дом и иные входящие в состав такого дома объекты недвижимого имущества, является общей долевой собственностью собственников помещений в многоквартирном доме. Порядок и условия предоставления такого земельного участка в качестве общего имущества в общую долевую собственность домовладельцев установлен статьей 16 вышеназванного Федерального закона. Сведения об имеющейся доле в праве общей собственности на земельный участок под многоквартирным домом и иными входящими в состав такого дома объектами недвижимого имущества следует получить в территориальном органе Федеральной службы государственной регистрации, кадастра и картографии, в котором производилась государственная регистрация права собственности на жилое помещение в этом многоквартирном доме.</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земельный участок для ведения личного подсобного хозяйства. Личное подсобное хозяйство - форма непредпринимательской деятельности по производству и переработке сельскохозяйственной продукции. Личное подсобное хозяйство ведется гражданином - одним или совместно с членами его семьи, в целях удовлетворения личных потребностей на земельном участке, предоставленном или приобретенном для ведения личного подсобного хозяйства (статья 2 Федерального закона от 7 июля 2003 г. № 112-ФЗ «О личном подсобном хозяйстве»). Для ведения личного подсобного хозяйства могут использоваться: земельный участок в границах населенного пункта - приусадебный земельный участок и земельный участок за пределами границ населенного пункта - полевой земельный участок. </w:t>
      </w:r>
      <w:r w:rsidRPr="00BD1420">
        <w:rPr>
          <w:rFonts w:ascii="Times New Roman" w:eastAsia="Times New Roman" w:hAnsi="Times New Roman" w:cs="Times New Roman"/>
          <w:sz w:val="28"/>
          <w:szCs w:val="28"/>
          <w:lang w:eastAsia="ru-RU"/>
        </w:rPr>
        <w:lastRenderedPageBreak/>
        <w:t xml:space="preserve">Приусадебный земельный участок используется как для производства сельскохозяйственной продукции, так и для возведения жилого дома, производственных, бытовых и иных зданий, строений, сооружений, а полевой земельный участок используется исключительно для производства сельскохозяйственной продукции (без права возведения на нем зданий и строений). </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 Огородный земельный участок - земельный участок, предоставленный гражданину или приобретенный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rsidR="00BA515C" w:rsidRDefault="00BD1420" w:rsidP="00BA515C">
      <w:pPr>
        <w:spacing w:after="0" w:line="240" w:lineRule="auto"/>
        <w:ind w:firstLine="708"/>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w:t>
      </w:r>
      <w:proofErr w:type="gramEnd"/>
    </w:p>
    <w:p w:rsidR="00BA515C" w:rsidRPr="00B249B1" w:rsidRDefault="00BD1420" w:rsidP="00BA515C">
      <w:pPr>
        <w:spacing w:after="0" w:line="240" w:lineRule="auto"/>
        <w:ind w:firstLine="708"/>
        <w:jc w:val="both"/>
        <w:rPr>
          <w:rFonts w:ascii="Times New Roman" w:eastAsia="Times New Roman" w:hAnsi="Times New Roman" w:cs="Times New Roman"/>
          <w:b/>
          <w:i/>
          <w:iCs/>
          <w:sz w:val="28"/>
          <w:szCs w:val="28"/>
          <w:lang w:eastAsia="ru-RU"/>
        </w:rPr>
      </w:pPr>
      <w:proofErr w:type="gramStart"/>
      <w:r w:rsidRPr="00BD1420">
        <w:rPr>
          <w:rFonts w:ascii="Times New Roman" w:eastAsia="Times New Roman" w:hAnsi="Times New Roman" w:cs="Times New Roman"/>
          <w:sz w:val="28"/>
          <w:szCs w:val="28"/>
          <w:lang w:eastAsia="ru-RU"/>
        </w:rPr>
        <w:t>Вид земельного участка указывается в соответствии с наименованием товарищества (например: садовый земельный участок в садоводческом товариществе «Русь»); дачный земельный участок в дачном некоммерческом товариществе «Исток») - земельный участок под индивидуальное гаражное строительство.</w:t>
      </w:r>
      <w:proofErr w:type="gramEnd"/>
      <w:r w:rsidRPr="00BD1420">
        <w:rPr>
          <w:rFonts w:ascii="Times New Roman" w:eastAsia="Times New Roman" w:hAnsi="Times New Roman" w:cs="Times New Roman"/>
          <w:sz w:val="28"/>
          <w:szCs w:val="28"/>
          <w:lang w:eastAsia="ru-RU"/>
        </w:rPr>
        <w:t xml:space="preserve"> Гаражи - здания, предназначенные для хранения, </w:t>
      </w:r>
      <w:proofErr w:type="spellStart"/>
      <w:r w:rsidRPr="00BD1420">
        <w:rPr>
          <w:rFonts w:ascii="Times New Roman" w:eastAsia="Times New Roman" w:hAnsi="Times New Roman" w:cs="Times New Roman"/>
          <w:sz w:val="28"/>
          <w:szCs w:val="28"/>
          <w:lang w:eastAsia="ru-RU"/>
        </w:rPr>
        <w:t>паркирования</w:t>
      </w:r>
      <w:proofErr w:type="spellEnd"/>
      <w:r w:rsidRPr="00BD1420">
        <w:rPr>
          <w:rFonts w:ascii="Times New Roman" w:eastAsia="Times New Roman" w:hAnsi="Times New Roman" w:cs="Times New Roman"/>
          <w:sz w:val="28"/>
          <w:szCs w:val="28"/>
          <w:lang w:eastAsia="ru-RU"/>
        </w:rPr>
        <w:t xml:space="preserve">, технического обслуживания автомобилей. </w:t>
      </w:r>
      <w:r w:rsidRPr="00BD1420">
        <w:rPr>
          <w:rFonts w:ascii="Times New Roman" w:eastAsia="Times New Roman" w:hAnsi="Times New Roman" w:cs="Times New Roman"/>
          <w:b/>
          <w:i/>
          <w:iCs/>
          <w:sz w:val="28"/>
          <w:szCs w:val="28"/>
          <w:lang w:eastAsia="ru-RU"/>
        </w:rPr>
        <w:t>Пункт 2 «Жилые дома».</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(п. 2 ст. 16 Жилищного кодекса Российской Федерации). Жилые дома функционально предназначены для постоянного проживания. Именно пригодность к проживанию в течение всех сезонов, а не только в летнее время отличает жилое помещение от дачного, предназначенного для отдыха, временного пребывания. Общая площадь жилого дома указывается в Справке на основании данных, имеющихся в свидетельстве о государственной регистрации права собственности на жилой дом. </w:t>
      </w:r>
    </w:p>
    <w:p w:rsidR="00AE09F7" w:rsidRPr="00B249B1" w:rsidRDefault="00BD1420" w:rsidP="00BA515C">
      <w:pPr>
        <w:spacing w:after="0" w:line="240" w:lineRule="auto"/>
        <w:ind w:firstLine="708"/>
        <w:jc w:val="both"/>
        <w:rPr>
          <w:rFonts w:ascii="Times New Roman" w:eastAsia="Times New Roman" w:hAnsi="Times New Roman" w:cs="Times New Roman"/>
          <w:b/>
          <w:i/>
          <w:iCs/>
          <w:sz w:val="28"/>
          <w:szCs w:val="28"/>
          <w:lang w:eastAsia="ru-RU"/>
        </w:rPr>
      </w:pPr>
      <w:r w:rsidRPr="00BD1420">
        <w:rPr>
          <w:rFonts w:ascii="Times New Roman" w:eastAsia="Times New Roman" w:hAnsi="Times New Roman" w:cs="Times New Roman"/>
          <w:b/>
          <w:i/>
          <w:iCs/>
          <w:sz w:val="28"/>
          <w:szCs w:val="28"/>
          <w:lang w:eastAsia="ru-RU"/>
        </w:rPr>
        <w:t>Пункт 3 «Квартира».</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 xml:space="preserve">Квартирой признается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w:t>
      </w:r>
      <w:r w:rsidRPr="00BD1420">
        <w:rPr>
          <w:rFonts w:ascii="Times New Roman" w:eastAsia="Times New Roman" w:hAnsi="Times New Roman" w:cs="Times New Roman"/>
          <w:sz w:val="28"/>
          <w:szCs w:val="28"/>
          <w:lang w:eastAsia="ru-RU"/>
        </w:rPr>
        <w:lastRenderedPageBreak/>
        <w:t>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 (п.3. ст.16 Жилищного кодекса Российской Федерации).</w:t>
      </w:r>
      <w:proofErr w:type="gramEnd"/>
      <w:r w:rsidRPr="00BD1420">
        <w:rPr>
          <w:rFonts w:ascii="Times New Roman" w:eastAsia="Times New Roman" w:hAnsi="Times New Roman" w:cs="Times New Roman"/>
          <w:sz w:val="28"/>
          <w:szCs w:val="28"/>
          <w:lang w:eastAsia="ru-RU"/>
        </w:rPr>
        <w:t xml:space="preserve"> Общая площадь квартиры указывается в Справке на основании данных, имеющихся в свидетельстве о государственной регистрации права собственности на квартиру.</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соответствии с Протоколом от 20.12.2011 №4/17/74 сведения об объекте недвижимого имущества, находящемся в долевой собственности гражданского служащего (например, ½ доля квартиры) и члена его семьи (например, ½ доля квартиры), отражаются в подразделе 2.1 «Недвижимое имущество» Справки (с указанием доли) государственного служащего и члена его семьи. При этом сведения о том, что гражданский служащий пользуется долей (например</w:t>
      </w:r>
      <w:proofErr w:type="gramStart"/>
      <w:r w:rsidRPr="00BD1420">
        <w:rPr>
          <w:rFonts w:ascii="Times New Roman" w:eastAsia="Times New Roman" w:hAnsi="Times New Roman" w:cs="Times New Roman"/>
          <w:sz w:val="28"/>
          <w:szCs w:val="28"/>
          <w:lang w:eastAsia="ru-RU"/>
        </w:rPr>
        <w:t xml:space="preserve">, ½) </w:t>
      </w:r>
      <w:proofErr w:type="gramEnd"/>
      <w:r w:rsidRPr="00BD1420">
        <w:rPr>
          <w:rFonts w:ascii="Times New Roman" w:eastAsia="Times New Roman" w:hAnsi="Times New Roman" w:cs="Times New Roman"/>
          <w:sz w:val="28"/>
          <w:szCs w:val="28"/>
          <w:lang w:eastAsia="ru-RU"/>
        </w:rPr>
        <w:t xml:space="preserve">объекта недвижимого имущества, не принадлежащей ему на праве собственности, в подраздел 5.1. «Объекты недвижимого имущества, </w:t>
      </w:r>
      <w:proofErr w:type="gramStart"/>
      <w:r w:rsidRPr="00BD1420">
        <w:rPr>
          <w:rFonts w:ascii="Times New Roman" w:eastAsia="Times New Roman" w:hAnsi="Times New Roman" w:cs="Times New Roman"/>
          <w:sz w:val="28"/>
          <w:szCs w:val="28"/>
          <w:lang w:eastAsia="ru-RU"/>
        </w:rPr>
        <w:t>находящихся</w:t>
      </w:r>
      <w:proofErr w:type="gramEnd"/>
      <w:r w:rsidRPr="00BD1420">
        <w:rPr>
          <w:rFonts w:ascii="Times New Roman" w:eastAsia="Times New Roman" w:hAnsi="Times New Roman" w:cs="Times New Roman"/>
          <w:sz w:val="28"/>
          <w:szCs w:val="28"/>
          <w:lang w:eastAsia="ru-RU"/>
        </w:rPr>
        <w:t xml:space="preserve"> в пользовании» не вносятся.</w:t>
      </w:r>
    </w:p>
    <w:p w:rsidR="00AE09F7" w:rsidRDefault="00BD1420" w:rsidP="00BA515C">
      <w:pPr>
        <w:spacing w:after="0" w:line="240" w:lineRule="auto"/>
        <w:ind w:firstLine="708"/>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i/>
          <w:iCs/>
          <w:sz w:val="28"/>
          <w:szCs w:val="28"/>
          <w:lang w:eastAsia="ru-RU"/>
        </w:rPr>
        <w:t>Пункт 4 «Дачи».</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Понятие «дача» не относится к числу правовых категорий. Оно имеет собирательное значение и обозначает загородный дом для летнего проживания и отдыха (Толковый словарь русского языка под ред. Д.Н. Ушакова). </w:t>
      </w:r>
      <w:proofErr w:type="gramStart"/>
      <w:r w:rsidRPr="00BD1420">
        <w:rPr>
          <w:rFonts w:ascii="Times New Roman" w:eastAsia="Times New Roman" w:hAnsi="Times New Roman" w:cs="Times New Roman"/>
          <w:sz w:val="28"/>
          <w:szCs w:val="28"/>
          <w:lang w:eastAsia="ru-RU"/>
        </w:rPr>
        <w:t>Данный термин применяется к жилому строению (дому), построенном как на садовом, так и на дачном земельном участке.</w:t>
      </w:r>
      <w:proofErr w:type="gramEnd"/>
      <w:r w:rsidRPr="00BD1420">
        <w:rPr>
          <w:rFonts w:ascii="Times New Roman" w:eastAsia="Times New Roman" w:hAnsi="Times New Roman" w:cs="Times New Roman"/>
          <w:sz w:val="28"/>
          <w:szCs w:val="28"/>
          <w:lang w:eastAsia="ru-RU"/>
        </w:rPr>
        <w:t xml:space="preserve"> В соответствии со статьей 19 Федерального закона от 15 апреля 1998 года № 66-ФЗ «О садоводческих, огороднических и дачных некоммерческих объединениях граждан» члены садоводческого или дачного некоммерческого объединения имеют право осуществлять в соответствии с установленными требованиями строительство и перестройку жилого строения, хозяйственных строений и сооружений - на садовом земельном участке; жилого строения или жилого дома, хозяйственных строений и сооружений - на дачном земельном участке. Местом нахождения дачи является место нахождения дачного или садового земельного участка.</w:t>
      </w:r>
    </w:p>
    <w:p w:rsidR="00AE09F7" w:rsidRDefault="00BD1420" w:rsidP="00BA515C">
      <w:pPr>
        <w:spacing w:after="0" w:line="240" w:lineRule="auto"/>
        <w:ind w:firstLine="708"/>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i/>
          <w:iCs/>
          <w:sz w:val="28"/>
          <w:szCs w:val="28"/>
          <w:lang w:eastAsia="ru-RU"/>
        </w:rPr>
        <w:t>Пункт 5 «Гаражи».</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Гараж - помещение для стоянки и ремонта автомобилей может находиться как в индивидуальной, так и в общей собственности. Право собственности на гараж подтверждается свидетельством о государственной регистрации права собственности (иным правоустанавливающим документам). </w:t>
      </w:r>
    </w:p>
    <w:p w:rsidR="00AE09F7" w:rsidRDefault="00BD1420" w:rsidP="00BA515C">
      <w:pPr>
        <w:spacing w:after="0" w:line="240" w:lineRule="auto"/>
        <w:ind w:firstLine="708"/>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i/>
          <w:iCs/>
          <w:sz w:val="28"/>
          <w:szCs w:val="28"/>
          <w:lang w:eastAsia="ru-RU"/>
        </w:rPr>
        <w:t>Пункт 6 «Иное недвижимое имущество».</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К иному недвижимому имуществу относятся жилые помещения в виде комнат, а также здания, сооружения, объекты незавершенного строительства. В соответствии с Жилищным кодексом Российской Федерации комнатой признается часть жилого дома или квартиры, предназначенная для использования в качестве места непосредственного проживания граждан в жилом доме или квартире. В случае если у гражданского служащего в собственности находится комната, все сведения об этом виде имущества необходимо указывать в соответствии со </w:t>
      </w:r>
      <w:r w:rsidRPr="00BD1420">
        <w:rPr>
          <w:rFonts w:ascii="Times New Roman" w:eastAsia="Times New Roman" w:hAnsi="Times New Roman" w:cs="Times New Roman"/>
          <w:sz w:val="28"/>
          <w:szCs w:val="28"/>
          <w:lang w:eastAsia="ru-RU"/>
        </w:rPr>
        <w:lastRenderedPageBreak/>
        <w:t xml:space="preserve">свидетельством о регистрации права собственности. В соответствии со статьей 219 Гражданского кодекса Российской Федерации право собственности на здания, сооружения и другое вновь создаваемое недвижимое имущество, подлежащее государственной регистрации, возникает с момента такой регистрации. Единого законодательного понятия «объект незавершенного строительства» на сегодняшний день не существует. Объект незавершенного строительства возникает в момент приобретения им свойств недвижимого имущества: </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1. объект должен быть прочно связан с землей; 2. его перемещение невозможно без несоразмерного ущерба его назначению (ст. 130 Гражданского кодекса Российской Федерации). </w:t>
      </w:r>
      <w:proofErr w:type="gramStart"/>
      <w:r w:rsidRPr="00BD1420">
        <w:rPr>
          <w:rFonts w:ascii="Times New Roman" w:eastAsia="Times New Roman" w:hAnsi="Times New Roman" w:cs="Times New Roman"/>
          <w:sz w:val="28"/>
          <w:szCs w:val="28"/>
          <w:lang w:eastAsia="ru-RU"/>
        </w:rPr>
        <w:t xml:space="preserve">К объектам, находящимся в незавершенном строительстве, относятся объекты: - строительство которых продолжается; </w:t>
      </w:r>
      <w:r w:rsidRPr="00BD1420">
        <w:rPr>
          <w:rFonts w:ascii="Times New Roman" w:eastAsia="Times New Roman" w:hAnsi="Times New Roman" w:cs="Times New Roman"/>
          <w:sz w:val="28"/>
          <w:szCs w:val="28"/>
          <w:lang w:eastAsia="ru-RU"/>
        </w:rPr>
        <w:br/>
        <w:t>- строительство которых приостановлено, законсервировано или окончательно прекращено, но не списано в установленном порядке; находящиеся в эксплуатации, по которым акты приемки еще не оформлены в установленном порядке.</w:t>
      </w:r>
      <w:proofErr w:type="gramEnd"/>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Право собственности на объект незавершенного строительства подтверждается свидетельством о государственной регистрации права собственности (иным правоустанавливающим документам). </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3 указывается вид собственности (индивидуальная, общая). В данном случае вид отношений собственности зависит от субъекта собственности. Имущество, находящееся в собственности одного лица – это индивидуальная собственность, двух или нескольких лиц - общая собственность.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 Для совместной собственности указываются иные лица (Ф.И.О. или наименование), в собственности которых находится имущество (например, земельный участок может находиться в совместной собственности супругов). </w:t>
      </w:r>
      <w:proofErr w:type="gramStart"/>
      <w:r w:rsidRPr="00BD1420">
        <w:rPr>
          <w:rFonts w:ascii="Times New Roman" w:eastAsia="Times New Roman" w:hAnsi="Times New Roman" w:cs="Times New Roman"/>
          <w:sz w:val="28"/>
          <w:szCs w:val="28"/>
          <w:lang w:eastAsia="ru-RU"/>
        </w:rPr>
        <w:t xml:space="preserve">Для долевой собственности указывается доля гражданского служащего, например, в свидетельстве о регистрации доли в праве собственности на квартиру указывается размер этой доли). </w:t>
      </w:r>
      <w:proofErr w:type="gramEnd"/>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графах 4,5 указываются место нахождения (адрес) и площадь (кв. м) недвижимого имущества. Данная информация указывается согласно свидетельству о регистрации собственности (иным правоустанавливающим документам).</w:t>
      </w:r>
    </w:p>
    <w:p w:rsidR="00AE09F7" w:rsidRPr="00B249B1" w:rsidRDefault="00BD1420" w:rsidP="00BA515C">
      <w:pPr>
        <w:spacing w:after="0" w:line="240" w:lineRule="auto"/>
        <w:ind w:firstLine="708"/>
        <w:jc w:val="both"/>
        <w:rPr>
          <w:rFonts w:ascii="Times New Roman" w:eastAsia="Times New Roman" w:hAnsi="Times New Roman" w:cs="Times New Roman"/>
          <w:b/>
          <w:sz w:val="28"/>
          <w:szCs w:val="28"/>
          <w:u w:val="single"/>
          <w:lang w:eastAsia="ru-RU"/>
        </w:rPr>
      </w:pPr>
      <w:r w:rsidRPr="00BD1420">
        <w:rPr>
          <w:rFonts w:ascii="Times New Roman" w:eastAsia="Times New Roman" w:hAnsi="Times New Roman" w:cs="Times New Roman"/>
          <w:b/>
          <w:sz w:val="28"/>
          <w:szCs w:val="28"/>
          <w:u w:val="single"/>
          <w:lang w:eastAsia="ru-RU"/>
        </w:rPr>
        <w:t>2.2. Транспортные средства</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Графа 2 «Вид и марка транспортного средства» заполняется согласно свидетельству о регистрации транспортного средства. </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3 «Вид собственности» указывается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гражданского служащего, который представляет сведения. </w:t>
      </w:r>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lastRenderedPageBreak/>
        <w:t>В графе 4 «Место регистрации» указывается тот уполномоченный орган государственной власти, в котором осуществлялась регистрация транспортного средства (например:</w:t>
      </w:r>
      <w:proofErr w:type="gramEnd"/>
      <w:r w:rsidRPr="00BD1420">
        <w:rPr>
          <w:rFonts w:ascii="Times New Roman" w:eastAsia="Times New Roman" w:hAnsi="Times New Roman" w:cs="Times New Roman"/>
          <w:sz w:val="28"/>
          <w:szCs w:val="28"/>
          <w:lang w:eastAsia="ru-RU"/>
        </w:rPr>
        <w:t xml:space="preserve"> </w:t>
      </w:r>
      <w:proofErr w:type="gramStart"/>
      <w:r w:rsidRPr="00BD1420">
        <w:rPr>
          <w:rFonts w:ascii="Times New Roman" w:eastAsia="Times New Roman" w:hAnsi="Times New Roman" w:cs="Times New Roman"/>
          <w:sz w:val="28"/>
          <w:szCs w:val="28"/>
          <w:lang w:eastAsia="ru-RU"/>
        </w:rPr>
        <w:t xml:space="preserve">ГИБДД 7 отд. МОТОТРЭР ЮЗАО Москвы). </w:t>
      </w:r>
      <w:proofErr w:type="gramEnd"/>
    </w:p>
    <w:p w:rsidR="00AE09F7" w:rsidRDefault="00BD1420" w:rsidP="00BA515C">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соответствии с Протоколом совещания у заместителя Министра здравоохранения и социального развития от 20.12.2011 № 4/17/74 сведения о транспортных средствах, находящихся в угоне, либо снятых с регистрационного учета, подлежат отражению так же в подразделе 2.2 «Транспортные средства» Справки.</w:t>
      </w:r>
    </w:p>
    <w:p w:rsidR="00AE09F7" w:rsidRDefault="00AE09F7" w:rsidP="00D74C6F">
      <w:pPr>
        <w:spacing w:after="0" w:line="240" w:lineRule="auto"/>
        <w:jc w:val="both"/>
        <w:rPr>
          <w:rFonts w:ascii="Times New Roman" w:eastAsia="Times New Roman" w:hAnsi="Times New Roman" w:cs="Times New Roman"/>
          <w:b/>
          <w:bCs/>
          <w:sz w:val="28"/>
          <w:szCs w:val="28"/>
          <w:lang w:eastAsia="ru-RU"/>
        </w:rPr>
      </w:pPr>
    </w:p>
    <w:p w:rsidR="008D3D72" w:rsidRDefault="00BD1420" w:rsidP="00913F16">
      <w:pPr>
        <w:spacing w:after="0" w:line="240" w:lineRule="auto"/>
        <w:jc w:val="center"/>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b/>
          <w:bCs/>
          <w:sz w:val="28"/>
          <w:szCs w:val="28"/>
          <w:lang w:eastAsia="ru-RU"/>
        </w:rPr>
        <w:t>Раздел 3. Сведения о денежных средствах, находящихся на счетах в банках и иных кредитных организациях</w:t>
      </w:r>
    </w:p>
    <w:p w:rsidR="00BD1420" w:rsidRPr="00BD1420" w:rsidRDefault="00BD1420" w:rsidP="00AE09F7">
      <w:pPr>
        <w:spacing w:after="0" w:line="240" w:lineRule="auto"/>
        <w:ind w:firstLine="708"/>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Согласно статьи</w:t>
      </w:r>
      <w:proofErr w:type="gramEnd"/>
      <w:r w:rsidRPr="00BD1420">
        <w:rPr>
          <w:rFonts w:ascii="Times New Roman" w:eastAsia="Times New Roman" w:hAnsi="Times New Roman" w:cs="Times New Roman"/>
          <w:sz w:val="28"/>
          <w:szCs w:val="28"/>
          <w:lang w:eastAsia="ru-RU"/>
        </w:rPr>
        <w:t xml:space="preserve"> 1 Федерального закона от 2 декабря 1990 № 395-1 «О банках и банковской деятельности» видами кредитных организаций являются банки и небанковские кредитные организации (НКО). Небанковская кредитная организация - кредитная организация, имеющая право осуществлять отдельные банковские операции, предусмотренные Федеральным законом «О банках и банковской деятельности». На балансах банков открываются различные виды счетов (депозитный, текущий, ссудный и др.). Основанием открытия банковского счета является договор. Стороной договора может выступать кредитная организация, Банк России, а также организации, которым федеральными законами предоставлено право проведения банковской операции по открытию и ведению банковских счетов. Вкладной (депозитный) счет предназначен для хранения временно свободных денежных средств. </w:t>
      </w:r>
    </w:p>
    <w:p w:rsidR="00BD1420" w:rsidRPr="00BD1420"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Такой счет открывается клиенту банка на основании заключенного договора банковского вклада. По договору банковского вклада (депозита) одна сторона (кредитная организация), принявшая поступившую от другой стороны (вкладчика) или поступившую для нее денежную сумму (вклад), обязуется возвратить сумму вклада и выплатить проценты на нее на условиях и в порядке, предусмотренных этим договором. Сведения по банковским вкладам (депозитным счетам), в том числе наименование и место нахождения банка (филиала банка), номер счёта по вкладу все суммы денежных средств, зачисленных на счет и списанных со счета, остаток денежных средств на счете указываются в сберегательной книжке. </w:t>
      </w:r>
      <w:proofErr w:type="gramStart"/>
      <w:r w:rsidRPr="00BD1420">
        <w:rPr>
          <w:rFonts w:ascii="Times New Roman" w:eastAsia="Times New Roman" w:hAnsi="Times New Roman" w:cs="Times New Roman"/>
          <w:sz w:val="28"/>
          <w:szCs w:val="28"/>
          <w:lang w:eastAsia="ru-RU"/>
        </w:rPr>
        <w:t>Под текущим счетом физического лица понимается банковский счет, открываемый физическому лицу в банке на основании договора банковского счета, предусматривающего совершение расчетных операций, не связанных с открываемый в банке-кредиторе для перечисления кредитных средств и для последующего зачисления на него платежей по кредиту.</w:t>
      </w:r>
      <w:proofErr w:type="gramEnd"/>
      <w:r w:rsidRPr="00BD1420">
        <w:rPr>
          <w:rFonts w:ascii="Times New Roman" w:eastAsia="Times New Roman" w:hAnsi="Times New Roman" w:cs="Times New Roman"/>
          <w:sz w:val="28"/>
          <w:szCs w:val="28"/>
          <w:lang w:eastAsia="ru-RU"/>
        </w:rPr>
        <w:t xml:space="preserve"> </w:t>
      </w:r>
      <w:proofErr w:type="gramStart"/>
      <w:r w:rsidRPr="00BD1420">
        <w:rPr>
          <w:rFonts w:ascii="Times New Roman" w:eastAsia="Times New Roman" w:hAnsi="Times New Roman" w:cs="Times New Roman"/>
          <w:sz w:val="28"/>
          <w:szCs w:val="28"/>
          <w:lang w:eastAsia="ru-RU"/>
        </w:rPr>
        <w:t>Ссудный счет предусмотрен правилами бухучета и нужны для отражения на балансе банка операций по предоставлению заемщикам и возврату ими денежных средств (кредитов) в соответствии с заключенными кредитными договорами.</w:t>
      </w:r>
      <w:proofErr w:type="gramEnd"/>
      <w:r w:rsidRPr="00BD1420">
        <w:rPr>
          <w:rFonts w:ascii="Times New Roman" w:eastAsia="Times New Roman" w:hAnsi="Times New Roman" w:cs="Times New Roman"/>
          <w:sz w:val="28"/>
          <w:szCs w:val="28"/>
          <w:lang w:eastAsia="ru-RU"/>
        </w:rPr>
        <w:t xml:space="preserve"> Датой открытия счета является дата заключения договора. Остаток на счете указывается по состоянию на отчетную дату. Для счетов в иностранной </w:t>
      </w:r>
      <w:r w:rsidRPr="00BD1420">
        <w:rPr>
          <w:rFonts w:ascii="Times New Roman" w:eastAsia="Times New Roman" w:hAnsi="Times New Roman" w:cs="Times New Roman"/>
          <w:sz w:val="28"/>
          <w:szCs w:val="28"/>
          <w:lang w:eastAsia="ru-RU"/>
        </w:rPr>
        <w:lastRenderedPageBreak/>
        <w:t>валюте остаток указывается в рублях по курсу Банка России на отчетную дату. Отчётной датой считается последний день отчётного периода, то есть 31 декабря года, являющегося отчётным. Кроме того, в данном разделе отражается остаток на счете банковской карты по состоянию на отчетную дату, в том числе по кредитной банковской карте, и по банковской карте, открытой для перечисления заработной платы. Информация о состоянии счета клиента предоставляется банком.</w:t>
      </w:r>
    </w:p>
    <w:p w:rsidR="008D3D72" w:rsidRDefault="00BD1420" w:rsidP="00913F16">
      <w:pPr>
        <w:spacing w:after="0" w:line="240" w:lineRule="auto"/>
        <w:jc w:val="center"/>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b/>
          <w:bCs/>
          <w:sz w:val="28"/>
          <w:szCs w:val="28"/>
          <w:lang w:eastAsia="ru-RU"/>
        </w:rPr>
        <w:t>Раздел 4.Сведения о ценных бумагах</w:t>
      </w:r>
    </w:p>
    <w:p w:rsidR="00AE197F" w:rsidRDefault="00BD1420" w:rsidP="00D74C6F">
      <w:pPr>
        <w:spacing w:after="0" w:line="240" w:lineRule="auto"/>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sz w:val="28"/>
          <w:szCs w:val="28"/>
          <w:lang w:eastAsia="ru-RU"/>
        </w:rPr>
        <w:br/>
      </w:r>
      <w:r w:rsidRPr="00BD1420">
        <w:rPr>
          <w:rFonts w:ascii="Times New Roman" w:eastAsia="Times New Roman" w:hAnsi="Times New Roman" w:cs="Times New Roman"/>
          <w:i/>
          <w:iCs/>
          <w:sz w:val="28"/>
          <w:szCs w:val="28"/>
          <w:lang w:eastAsia="ru-RU"/>
        </w:rPr>
        <w:t>4.1. Акции и иное участие в коммерческих организациях</w:t>
      </w:r>
    </w:p>
    <w:p w:rsidR="00AE197F"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Акция -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BD1420" w:rsidRPr="00BD1420"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графе 2 указываются полное или сокращенное официальное наименование организац</w:t>
      </w:r>
      <w:proofErr w:type="gramStart"/>
      <w:r w:rsidRPr="00BD1420">
        <w:rPr>
          <w:rFonts w:ascii="Times New Roman" w:eastAsia="Times New Roman" w:hAnsi="Times New Roman" w:cs="Times New Roman"/>
          <w:sz w:val="28"/>
          <w:szCs w:val="28"/>
          <w:lang w:eastAsia="ru-RU"/>
        </w:rPr>
        <w:t>ии и ее</w:t>
      </w:r>
      <w:proofErr w:type="gramEnd"/>
      <w:r w:rsidRPr="00BD1420">
        <w:rPr>
          <w:rFonts w:ascii="Times New Roman" w:eastAsia="Times New Roman" w:hAnsi="Times New Roman" w:cs="Times New Roman"/>
          <w:sz w:val="28"/>
          <w:szCs w:val="28"/>
          <w:lang w:eastAsia="ru-RU"/>
        </w:rPr>
        <w:t xml:space="preserve"> организационно-правовая форма (акционерное общество, общество с ограниченной ответственностью, товарищество, производственный кооператив и другие). Например, ОАО «Сбербанк России», ОАО «Газпром»; и т.д. </w:t>
      </w:r>
    </w:p>
    <w:p w:rsidR="00AE197F"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Графа 4. Уставный капитал указывается согласно учредительным документам организации по состоянию на отчетную дату. Например, сумма уставного капитала ОАО «Газпром» отображена в Уставе Открытого Акционерного Общества «Газпром»; Сбербанк России – в Уставе Сбербанка России ОАО. Уставы коммерческих организаций размещаются на их официальных Интернет-сайтах. Для уставных капиталов, выраженных в иностранной валюте, уставный капитал указывается в рублях по курсу Банка России на отчетную дату.</w:t>
      </w:r>
    </w:p>
    <w:p w:rsidR="00AE197F"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Графа 5. «Доля участия». Доля участия выражается в процентах от уставного капитала. Для акционерных обществ указываются также номинальная стоимость и количество акций. Доля участия вычисляется по формуле: номинальная стоимость 1 акции х количество акций х 100 % уставного капитала (руб.) </w:t>
      </w:r>
    </w:p>
    <w:p w:rsidR="00AE197F" w:rsidRDefault="00BD1420" w:rsidP="00D74C6F">
      <w:pPr>
        <w:spacing w:after="0" w:line="240" w:lineRule="auto"/>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 xml:space="preserve">В графе 6 указываются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w:t>
      </w:r>
      <w:proofErr w:type="gramEnd"/>
    </w:p>
    <w:p w:rsidR="00AE197F" w:rsidRDefault="00BD1420" w:rsidP="00D74C6F">
      <w:pPr>
        <w:spacing w:after="0" w:line="240" w:lineRule="auto"/>
        <w:jc w:val="both"/>
        <w:rPr>
          <w:rFonts w:ascii="Times New Roman" w:eastAsia="Times New Roman" w:hAnsi="Times New Roman" w:cs="Times New Roman"/>
          <w:i/>
          <w:iCs/>
          <w:sz w:val="28"/>
          <w:szCs w:val="28"/>
          <w:lang w:eastAsia="ru-RU"/>
        </w:rPr>
      </w:pPr>
      <w:r w:rsidRPr="00BD1420">
        <w:rPr>
          <w:rFonts w:ascii="Times New Roman" w:eastAsia="Times New Roman" w:hAnsi="Times New Roman" w:cs="Times New Roman"/>
          <w:i/>
          <w:iCs/>
          <w:sz w:val="28"/>
          <w:szCs w:val="28"/>
          <w:lang w:eastAsia="ru-RU"/>
        </w:rPr>
        <w:t xml:space="preserve">4.2. Иные ценные бумаги </w:t>
      </w:r>
    </w:p>
    <w:p w:rsidR="00AE197F" w:rsidRDefault="00BD1420" w:rsidP="00D74C6F">
      <w:pPr>
        <w:spacing w:after="0" w:line="240" w:lineRule="auto"/>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Согласно статьи</w:t>
      </w:r>
      <w:proofErr w:type="gramEnd"/>
      <w:r w:rsidRPr="00BD1420">
        <w:rPr>
          <w:rFonts w:ascii="Times New Roman" w:eastAsia="Times New Roman" w:hAnsi="Times New Roman" w:cs="Times New Roman"/>
          <w:sz w:val="28"/>
          <w:szCs w:val="28"/>
          <w:lang w:eastAsia="ru-RU"/>
        </w:rPr>
        <w:t xml:space="preserve"> 143 Гражданского кодекса Российской Федерации к ценным бумагам относятся: государственная облигация, облигация, вексель, чек, депозитный и сберегательный сертификаты, банковская сберегательная книжка на предъявителя, коносамент, акция, приватизационные ценные бумаги и другие документы, которые законами о ценных бумагах или в установленном ими порядке отнесены к числу ценных бумаг.</w:t>
      </w:r>
    </w:p>
    <w:p w:rsidR="00AE197F"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lastRenderedPageBreak/>
        <w:t xml:space="preserve">В графе 2 указываются все ценные бумаги по видам (облигации, векселя, сберегательные сертификаты и другие), за исключением акций, указанных в подразделе «Акции и иное участие в коммерческих организациях». Информация необходимая для заполнения граф 3,4,5 указана на самой ценной бумаге (вексель, облигация и др.). </w:t>
      </w:r>
    </w:p>
    <w:p w:rsidR="00BD1420" w:rsidRPr="00BD1420"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графе 6 указывается общая стоимость ценных бумаг данного вида, исходя из стоимости их приобретения (а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Суммарная декларированная стоимость ценных бумаг, включая доли участия в коммерческих организациях (руб.), определяется как совокупная стоимость акций и иного участия в коммерческих организациях (подраздел 4.1. настоящего раздела) и иных ценных бумаг (подраздел 4.2. настоящего раздела).</w:t>
      </w:r>
    </w:p>
    <w:p w:rsidR="008D3D72" w:rsidRDefault="00BD1420" w:rsidP="00AE197F">
      <w:pPr>
        <w:spacing w:after="0" w:line="240" w:lineRule="auto"/>
        <w:jc w:val="center"/>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b/>
          <w:bCs/>
          <w:sz w:val="28"/>
          <w:szCs w:val="28"/>
          <w:lang w:eastAsia="ru-RU"/>
        </w:rPr>
        <w:t>Раздел 5. Сведения об обязательствах имущественного характера.</w:t>
      </w:r>
    </w:p>
    <w:p w:rsidR="00F40DE4" w:rsidRDefault="00BD1420" w:rsidP="00AE197F">
      <w:pPr>
        <w:spacing w:after="0" w:line="240" w:lineRule="auto"/>
        <w:ind w:firstLine="708"/>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В соответствии со статьей 307 Гражданского кодекса Российской Федерации под обязательствами имущественного характера понимаются правоотношения, в силу которых одно лицо (должник) обязано совершить в пользу другого лица (кредитора) определенное действие – передать имущество, выполнить работу, оказать услугу, уплатить деньги и т.п., либо воздержаться от определенного действия, а кредитор вправе требовать от должника исполнения его обязанностей.</w:t>
      </w:r>
      <w:proofErr w:type="gramEnd"/>
    </w:p>
    <w:p w:rsidR="00BD1420" w:rsidRPr="00BD1420" w:rsidRDefault="00BD1420" w:rsidP="00AE197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b/>
          <w:sz w:val="28"/>
          <w:szCs w:val="28"/>
          <w:u w:val="single"/>
          <w:lang w:eastAsia="ru-RU"/>
        </w:rPr>
        <w:t>5.1. Объекты недвижимого имущества, находящиеся в пользовании</w:t>
      </w:r>
      <w:r w:rsidRPr="00BD1420">
        <w:rPr>
          <w:rFonts w:ascii="Times New Roman" w:eastAsia="Times New Roman" w:hAnsi="Times New Roman" w:cs="Times New Roman"/>
          <w:sz w:val="28"/>
          <w:szCs w:val="28"/>
          <w:lang w:eastAsia="ru-RU"/>
        </w:rPr>
        <w:br/>
        <w:t xml:space="preserve">Сведения, представляемые в данном подразделе, касаются объектов недвижимого имущества, находящегося в пользовании. </w:t>
      </w:r>
    </w:p>
    <w:p w:rsidR="00F40DE4"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соответствии с пунктом 2 статьи 677, пункта 2 статьи 683 Гражданского кодекса Российской Федерации, части 2 статьи 69, части 5 статьи 100 Жилищного кодекса Российской Федерации члены семьи нанимателя имеют равные с ним права по пользованию жилым помещением. Поэтому в случае, когда гражданский служащий является членом семьи нанимателя по договору найма жилого помещения, в Справке он обязан указывать сведения о пользовании этим жилым помещением. </w:t>
      </w:r>
      <w:proofErr w:type="gramStart"/>
      <w:r w:rsidRPr="00BD1420">
        <w:rPr>
          <w:rFonts w:ascii="Times New Roman" w:eastAsia="Times New Roman" w:hAnsi="Times New Roman" w:cs="Times New Roman"/>
          <w:sz w:val="28"/>
          <w:szCs w:val="28"/>
          <w:lang w:eastAsia="ru-RU"/>
        </w:rPr>
        <w:t>Гражданский служащий, проживающий в жилом помещении, собственником которого является ее (его) супруг (супруга) или иные близкие родственники, должен указывать в Справке это жилое помещение в объектах недвижимого имущества, находящихся в пользовании, при этом вид пользования необходимо указывать безвозмездное пользование, сроки пользования в данном случае не указываются, основанием пользования является фактическое предоставление без указания реквизитов договора или акта.</w:t>
      </w:r>
      <w:proofErr w:type="gramEnd"/>
      <w:r w:rsidRPr="00BD1420">
        <w:rPr>
          <w:rFonts w:ascii="Times New Roman" w:eastAsia="Times New Roman" w:hAnsi="Times New Roman" w:cs="Times New Roman"/>
          <w:sz w:val="28"/>
          <w:szCs w:val="28"/>
          <w:lang w:eastAsia="ru-RU"/>
        </w:rPr>
        <w:t xml:space="preserve"> В соответствии с частью 2 статьи 31 Жилищного кодекса Российской Федерации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Необходимо учитывать, что объекты недвижимого имущества могут находиться в </w:t>
      </w:r>
      <w:r w:rsidRPr="00BD1420">
        <w:rPr>
          <w:rFonts w:ascii="Times New Roman" w:eastAsia="Times New Roman" w:hAnsi="Times New Roman" w:cs="Times New Roman"/>
          <w:sz w:val="28"/>
          <w:szCs w:val="28"/>
          <w:lang w:eastAsia="ru-RU"/>
        </w:rPr>
        <w:lastRenderedPageBreak/>
        <w:t xml:space="preserve">пользовании на разных основаниях. Например, земельный участок может предоставляться в пользование на основании договоров аренды, субаренды, безвозмездного срочного пользования, в пожизненное владение. Квартира – на основании договора найма жилого помещения, договора поднайма жилого помещения, договора социального найма, договора найма специализированного жилого помещения, договора безвозмездного пользования жилым помещением. </w:t>
      </w:r>
    </w:p>
    <w:p w:rsidR="00913F16"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графе 2 – указывается вид недвижимости (земельный участок, жилой дом, квартира, дача и др.) находящиеся в пользовании по состоянию на отчетную дату;</w:t>
      </w:r>
    </w:p>
    <w:p w:rsidR="00F40DE4"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3 – вид и сроки пользования (аренда, субаренда, наем жилого помещения, наем специализированного жилого помещения, социальный наем жилого помещения, безвозмездное пользование и др.); </w:t>
      </w:r>
    </w:p>
    <w:p w:rsidR="00F40DE4"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4 – указывается основание пользования (договор, фактическое предоставление и др.), а так же реквизиты (дата, номер) соответствующего договора или акта. </w:t>
      </w:r>
    </w:p>
    <w:p w:rsidR="00F40DE4"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Пруд, обводненный карьер, расположенные в границах земельного участка, принадлежащего на праве собственности гражданскому служащему (членам его семьи), не указываются как обособленное имущество, поскольку не допускается отчуждение таких водных объектов без отчуждения земельных участков, в границах которых они расположены.</w:t>
      </w:r>
    </w:p>
    <w:p w:rsidR="00F40DE4"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случае если водный объект предоставлен гражданскому служащему (членам его семьи) в пользование на основании договора водопользования или решения о предоставлении водных объектов в пользование, соответствующие сведения отражаются в подразделе 5.1 «Объекты недвижимого имущества, находящиеся в пользовании» Справки. (Протокол совещания у заместителя Министра здравоохранения и социального развития от 20.12.2011 № 4/17/74).</w:t>
      </w:r>
    </w:p>
    <w:p w:rsidR="00F40DE4" w:rsidRDefault="00BD1420" w:rsidP="00913F16">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Раздел 5.1 «Объекты недвижимого имущества, находящиеся в пользовании» заполняется в обязательном порядке теми гражданскими служащими, которые по месту прохождения гражданской службы (например, в соответствующем субъекте Российской Федерации) имеют временную регистрацию (Протокол совещания у заместителя Министра здравоохранения и социального развития от 20.12.2011 № 4/17/74).</w:t>
      </w:r>
    </w:p>
    <w:p w:rsidR="00F40DE4" w:rsidRDefault="00BD1420" w:rsidP="00D74C6F">
      <w:pPr>
        <w:spacing w:after="0" w:line="240" w:lineRule="auto"/>
        <w:jc w:val="both"/>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b/>
          <w:bCs/>
          <w:sz w:val="28"/>
          <w:szCs w:val="28"/>
          <w:lang w:eastAsia="ru-RU"/>
        </w:rPr>
        <w:t>Подлежат указанию:</w:t>
      </w:r>
    </w:p>
    <w:p w:rsidR="00F40DE4"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w:t>
      </w:r>
      <w:r w:rsidR="00913F16">
        <w:rPr>
          <w:rFonts w:ascii="Times New Roman" w:eastAsia="Times New Roman" w:hAnsi="Times New Roman" w:cs="Times New Roman"/>
          <w:sz w:val="28"/>
          <w:szCs w:val="28"/>
          <w:lang w:eastAsia="ru-RU"/>
        </w:rPr>
        <w:tab/>
      </w:r>
      <w:r w:rsidRPr="00BD1420">
        <w:rPr>
          <w:rFonts w:ascii="Times New Roman" w:eastAsia="Times New Roman" w:hAnsi="Times New Roman" w:cs="Times New Roman"/>
          <w:sz w:val="28"/>
          <w:szCs w:val="28"/>
          <w:lang w:eastAsia="ru-RU"/>
        </w:rPr>
        <w:t>о жилой площади (дом, дача, квартира и т.д.), не принадлежащей гражданскому служащему или членам его семьи на праве собственности или на праве нанимателя, где он (они) фактически проживает по состоянию на отчетную дату без заключения договора аренды, безвозмездного пользования или социального найма;</w:t>
      </w:r>
    </w:p>
    <w:p w:rsidR="00F40DE4"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о квартирах, занимаемых по договорам социального найма.</w:t>
      </w:r>
    </w:p>
    <w:p w:rsidR="00F40DE4" w:rsidRPr="00913F16" w:rsidRDefault="00BD1420" w:rsidP="00D74C6F">
      <w:pPr>
        <w:spacing w:after="0" w:line="240" w:lineRule="auto"/>
        <w:jc w:val="both"/>
        <w:rPr>
          <w:rFonts w:ascii="Times New Roman" w:eastAsia="Times New Roman" w:hAnsi="Times New Roman" w:cs="Times New Roman"/>
          <w:b/>
          <w:sz w:val="28"/>
          <w:szCs w:val="28"/>
          <w:u w:val="single"/>
          <w:lang w:eastAsia="ru-RU"/>
        </w:rPr>
      </w:pPr>
      <w:r w:rsidRPr="00BD1420">
        <w:rPr>
          <w:rFonts w:ascii="Times New Roman" w:eastAsia="Times New Roman" w:hAnsi="Times New Roman" w:cs="Times New Roman"/>
          <w:b/>
          <w:sz w:val="28"/>
          <w:szCs w:val="28"/>
          <w:u w:val="single"/>
          <w:lang w:eastAsia="ru-RU"/>
        </w:rPr>
        <w:t xml:space="preserve">5.2. Прочие обязательства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В данном разделе указываются имеющиеся на отчетную дату срочные обязательства финансового характера на сумму, превышающую 100-</w:t>
      </w:r>
      <w:r w:rsidRPr="00BD1420">
        <w:rPr>
          <w:rFonts w:ascii="Times New Roman" w:eastAsia="Times New Roman" w:hAnsi="Times New Roman" w:cs="Times New Roman"/>
          <w:sz w:val="28"/>
          <w:szCs w:val="28"/>
          <w:lang w:eastAsia="ru-RU"/>
        </w:rPr>
        <w:lastRenderedPageBreak/>
        <w:t xml:space="preserve">кратный минимальный </w:t>
      </w:r>
      <w:proofErr w:type="gramStart"/>
      <w:r w:rsidRPr="00BD1420">
        <w:rPr>
          <w:rFonts w:ascii="Times New Roman" w:eastAsia="Times New Roman" w:hAnsi="Times New Roman" w:cs="Times New Roman"/>
          <w:sz w:val="28"/>
          <w:szCs w:val="28"/>
          <w:lang w:eastAsia="ru-RU"/>
        </w:rPr>
        <w:t>размер оплаты труда</w:t>
      </w:r>
      <w:proofErr w:type="gramEnd"/>
      <w:r w:rsidRPr="00BD1420">
        <w:rPr>
          <w:rFonts w:ascii="Times New Roman" w:eastAsia="Times New Roman" w:hAnsi="Times New Roman" w:cs="Times New Roman"/>
          <w:sz w:val="28"/>
          <w:szCs w:val="28"/>
          <w:lang w:eastAsia="ru-RU"/>
        </w:rPr>
        <w:t>, установленный на отчетную дату (на 31.12.201</w:t>
      </w:r>
      <w:r w:rsidR="00647027">
        <w:rPr>
          <w:rFonts w:ascii="Times New Roman" w:eastAsia="Times New Roman" w:hAnsi="Times New Roman" w:cs="Times New Roman"/>
          <w:sz w:val="28"/>
          <w:szCs w:val="28"/>
          <w:lang w:eastAsia="ru-RU"/>
        </w:rPr>
        <w:t>2</w:t>
      </w:r>
      <w:r w:rsidRPr="00BD1420">
        <w:rPr>
          <w:rFonts w:ascii="Times New Roman" w:eastAsia="Times New Roman" w:hAnsi="Times New Roman" w:cs="Times New Roman"/>
          <w:sz w:val="28"/>
          <w:szCs w:val="28"/>
          <w:lang w:eastAsia="ru-RU"/>
        </w:rPr>
        <w:t xml:space="preserve"> - </w:t>
      </w:r>
      <w:r w:rsidR="00647027">
        <w:rPr>
          <w:rFonts w:ascii="Times New Roman" w:eastAsia="Times New Roman" w:hAnsi="Times New Roman" w:cs="Times New Roman"/>
          <w:sz w:val="28"/>
          <w:szCs w:val="28"/>
          <w:lang w:eastAsia="ru-RU"/>
        </w:rPr>
        <w:t>5205</w:t>
      </w:r>
      <w:r w:rsidRPr="00BD1420">
        <w:rPr>
          <w:rFonts w:ascii="Times New Roman" w:eastAsia="Times New Roman" w:hAnsi="Times New Roman" w:cs="Times New Roman"/>
          <w:sz w:val="28"/>
          <w:szCs w:val="28"/>
          <w:lang w:eastAsia="ru-RU"/>
        </w:rPr>
        <w:t xml:space="preserve"> руб.).</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Согласно статьи</w:t>
      </w:r>
      <w:proofErr w:type="gramEnd"/>
      <w:r w:rsidRPr="00BD1420">
        <w:rPr>
          <w:rFonts w:ascii="Times New Roman" w:eastAsia="Times New Roman" w:hAnsi="Times New Roman" w:cs="Times New Roman"/>
          <w:sz w:val="28"/>
          <w:szCs w:val="28"/>
          <w:lang w:eastAsia="ru-RU"/>
        </w:rPr>
        <w:t xml:space="preserve"> 307 Гражданского кодекса Российской Федерации в силу обязательства одно лицо (должник) обязано совершить в пользу другого лица (кредитора) определенное действие, как-то: передать имущество, выполнить работу, уплатить деньги и т.п., либо воздержаться от определенного действия, а кредитор имеет право требовать от должника исполнения его обязанности.</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2 – указывается существо обязательства (заем, кредит, исполнение вступившего в силу решения суда и др.).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3 указывается вторая сторона обязательства: кредитор или должник, его фамилия, имя и отчество (наименование юридического лица), адрес. Если гражданский служащий взял кредит в банке и является должником, то в графе указывается вторая сторона обязательства – кредитор согласно кредитному договору.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4 указываются основание возникновения обязательства (договор, исполнительный лист, передача денег или имущества и другие), а также реквизиты (дата, номер) соответствующего договора или акта.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5 указывается сумма основного обязательства (без суммы процентов) согласно условиям заключенного договора. Для обязательств, выраженных в иностранной валюте, сумма указывается в рублях по курсу Банка России на отчетную дату. </w:t>
      </w:r>
    </w:p>
    <w:p w:rsidR="00913F16"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В графе 6 указываются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 В данном разделе также отражается информация о кредитах по банковской пластиковой карте в случае, если они превышают 100-кратный минимальный </w:t>
      </w:r>
      <w:proofErr w:type="gramStart"/>
      <w:r w:rsidRPr="00BD1420">
        <w:rPr>
          <w:rFonts w:ascii="Times New Roman" w:eastAsia="Times New Roman" w:hAnsi="Times New Roman" w:cs="Times New Roman"/>
          <w:sz w:val="28"/>
          <w:szCs w:val="28"/>
          <w:lang w:eastAsia="ru-RU"/>
        </w:rPr>
        <w:t>размер оплаты труда</w:t>
      </w:r>
      <w:proofErr w:type="gramEnd"/>
      <w:r w:rsidRPr="00BD1420">
        <w:rPr>
          <w:rFonts w:ascii="Times New Roman" w:eastAsia="Times New Roman" w:hAnsi="Times New Roman" w:cs="Times New Roman"/>
          <w:sz w:val="28"/>
          <w:szCs w:val="28"/>
          <w:lang w:eastAsia="ru-RU"/>
        </w:rPr>
        <w:t xml:space="preserve">.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Сведения о доходах, об имуществе и обязательствах имущественного характера предоставляются отдельно на супругу (супруга) и на каждого из несовершеннолетних детей гражданского служащего. </w:t>
      </w:r>
    </w:p>
    <w:p w:rsidR="00F40DE4" w:rsidRDefault="00BD1420" w:rsidP="00D74C6F">
      <w:pPr>
        <w:spacing w:after="0" w:line="240" w:lineRule="auto"/>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Данные Справки заполняются и подписываются гражданским служащим, представляющим сведения. </w:t>
      </w:r>
    </w:p>
    <w:p w:rsidR="00F40DE4" w:rsidRDefault="00BD1420" w:rsidP="000072DF">
      <w:pPr>
        <w:spacing w:after="0" w:line="240" w:lineRule="auto"/>
        <w:ind w:firstLine="708"/>
        <w:jc w:val="both"/>
        <w:rPr>
          <w:rFonts w:ascii="Times New Roman" w:eastAsia="Times New Roman" w:hAnsi="Times New Roman" w:cs="Times New Roman"/>
          <w:sz w:val="28"/>
          <w:szCs w:val="28"/>
          <w:lang w:eastAsia="ru-RU"/>
        </w:rPr>
      </w:pPr>
      <w:proofErr w:type="gramStart"/>
      <w:r w:rsidRPr="00BD1420">
        <w:rPr>
          <w:rFonts w:ascii="Times New Roman" w:eastAsia="Times New Roman" w:hAnsi="Times New Roman" w:cs="Times New Roman"/>
          <w:sz w:val="28"/>
          <w:szCs w:val="28"/>
          <w:lang w:eastAsia="ru-RU"/>
        </w:rPr>
        <w:t>В случае если гражданский служащий обнаружил, что в представленных им сведениях о полученных им доходах, об имуществе, принадлежащим ему на праве собственности, и об их обязательствах имущественного характера, а также сведения о доходах супруги (супруга) и несовершеннолетних детей, об их имуществе принадлежащим ему на праве собственности, и об их обязательствах имущественного характера не отражена или не полностью отражена какая-либо информация</w:t>
      </w:r>
      <w:proofErr w:type="gramEnd"/>
      <w:r w:rsidRPr="00BD1420">
        <w:rPr>
          <w:rFonts w:ascii="Times New Roman" w:eastAsia="Times New Roman" w:hAnsi="Times New Roman" w:cs="Times New Roman"/>
          <w:sz w:val="28"/>
          <w:szCs w:val="28"/>
          <w:lang w:eastAsia="ru-RU"/>
        </w:rPr>
        <w:t xml:space="preserve"> или имеются ошибки, он вправе представить уточненные сведения в течение года после подачи сведений о доходах, об имуществе и обязательствах имущественного характера.</w:t>
      </w:r>
    </w:p>
    <w:p w:rsidR="00F40DE4" w:rsidRDefault="00F40DE4" w:rsidP="000072DF">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w:t>
      </w:r>
      <w:r w:rsidR="00BD1420" w:rsidRPr="00BD1420">
        <w:rPr>
          <w:rFonts w:ascii="Times New Roman" w:eastAsia="Times New Roman" w:hAnsi="Times New Roman" w:cs="Times New Roman"/>
          <w:sz w:val="28"/>
          <w:szCs w:val="28"/>
          <w:lang w:eastAsia="ru-RU"/>
        </w:rPr>
        <w:t xml:space="preserve">При представлении уточненных сведений гражданским служащим данный факт может быть рассмотрен на комиссии по соблюдению </w:t>
      </w:r>
      <w:r w:rsidR="00BD1420" w:rsidRPr="00BD1420">
        <w:rPr>
          <w:rFonts w:ascii="Times New Roman" w:eastAsia="Times New Roman" w:hAnsi="Times New Roman" w:cs="Times New Roman"/>
          <w:sz w:val="28"/>
          <w:szCs w:val="28"/>
          <w:lang w:eastAsia="ru-RU"/>
        </w:rPr>
        <w:lastRenderedPageBreak/>
        <w:t>требований к служебному поведению федеральных государственных служащих и урегулированию конфликта интересов (Протокол совещания у заместителя Министра здравоохранения и социального развития от 20.12.2011 № 4/17/74).</w:t>
      </w:r>
    </w:p>
    <w:p w:rsidR="001F73F0" w:rsidRDefault="00BD1420" w:rsidP="00F40DE4">
      <w:pPr>
        <w:spacing w:after="0" w:line="240" w:lineRule="auto"/>
        <w:ind w:firstLine="708"/>
        <w:jc w:val="both"/>
        <w:rPr>
          <w:rFonts w:ascii="Times New Roman" w:eastAsia="Times New Roman" w:hAnsi="Times New Roman" w:cs="Times New Roman"/>
          <w:b/>
          <w:bCs/>
          <w:sz w:val="28"/>
          <w:szCs w:val="28"/>
          <w:lang w:eastAsia="ru-RU"/>
        </w:rPr>
      </w:pPr>
      <w:r w:rsidRPr="00BD1420">
        <w:rPr>
          <w:rFonts w:ascii="Times New Roman" w:eastAsia="Times New Roman" w:hAnsi="Times New Roman" w:cs="Times New Roman"/>
          <w:sz w:val="28"/>
          <w:szCs w:val="28"/>
          <w:lang w:eastAsia="ru-RU"/>
        </w:rPr>
        <w:t xml:space="preserve">В соответствии с Протоколами совещаний у заместителя Министра здравоохранения и социального развития Российской Федерации от 18.03.2011 № 17-1/460 и от 20.12.2011№ 4/17/74 при заполнении справки </w:t>
      </w:r>
      <w:r w:rsidRPr="00BD1420">
        <w:rPr>
          <w:rFonts w:ascii="Times New Roman" w:eastAsia="Times New Roman" w:hAnsi="Times New Roman" w:cs="Times New Roman"/>
          <w:b/>
          <w:bCs/>
          <w:sz w:val="28"/>
          <w:szCs w:val="28"/>
          <w:lang w:eastAsia="ru-RU"/>
        </w:rPr>
        <w:t>особое внимание следует обратить на следующие вопросы:</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1. В случае если гражданский служащий не проживает совместно с супругой (супругом) и сведения о которой (котором) отсутствуют, и не имеет возможности представить точные сведения в связи с объективными причинами, то он предоставляет данные сведения на </w:t>
      </w:r>
      <w:proofErr w:type="gramStart"/>
      <w:r w:rsidRPr="00BD1420">
        <w:rPr>
          <w:rFonts w:ascii="Times New Roman" w:eastAsia="Times New Roman" w:hAnsi="Times New Roman" w:cs="Times New Roman"/>
          <w:sz w:val="28"/>
          <w:szCs w:val="28"/>
          <w:lang w:eastAsia="ru-RU"/>
        </w:rPr>
        <w:t>основе</w:t>
      </w:r>
      <w:proofErr w:type="gramEnd"/>
      <w:r w:rsidRPr="00BD1420">
        <w:rPr>
          <w:rFonts w:ascii="Times New Roman" w:eastAsia="Times New Roman" w:hAnsi="Times New Roman" w:cs="Times New Roman"/>
          <w:sz w:val="28"/>
          <w:szCs w:val="28"/>
          <w:lang w:eastAsia="ru-RU"/>
        </w:rPr>
        <w:t xml:space="preserve"> имеющейся у него информации. Данный факт подлежит рассмотрению на комиссии по соблюдению требований к служебному поведению федеральных государственных служащих и урегулированию конфликта интересов для выявления обстоятельств, по причине которых предоставить соответствующие сведения не представляется возможным.</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2. Если гражданский служащий является опекуном, пособие на ребенка вносится в справку о доходах, об имуществе и обязательствах имущественного характера ребенка.</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3. При предоставлении сведений о доходах в Справке не отражаются следующие выплаты, полученные гражданским служащим (членами его семьи) в отчетный период:</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3.1. возмещение расходов, связанных со служебными командировками, включающих:</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расходы по проезду к месту командирования и обратно к постоянному месту прохождения гражданской службы;</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расходы по проезду из одного населенного пункта в другой, если служащий командирован в несколько государственных органов (организаций), расположенных в разных населенных пунктах;</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расходы по найму жилого помещения;</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дополнительные расходы, связанные с проживанием вне постоянного места жительства (суточные);</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 xml:space="preserve">- иные расходы, связанные со служебной командировкой (при условии, что они произведены гражданским служащим с разрешения или </w:t>
      </w:r>
      <w:proofErr w:type="gramStart"/>
      <w:r w:rsidRPr="00BD1420">
        <w:rPr>
          <w:rFonts w:ascii="Times New Roman" w:eastAsia="Times New Roman" w:hAnsi="Times New Roman" w:cs="Times New Roman"/>
          <w:sz w:val="28"/>
          <w:szCs w:val="28"/>
          <w:lang w:eastAsia="ru-RU"/>
        </w:rPr>
        <w:t>ведома</w:t>
      </w:r>
      <w:proofErr w:type="gramEnd"/>
      <w:r w:rsidRPr="00BD1420">
        <w:rPr>
          <w:rFonts w:ascii="Times New Roman" w:eastAsia="Times New Roman" w:hAnsi="Times New Roman" w:cs="Times New Roman"/>
          <w:sz w:val="28"/>
          <w:szCs w:val="28"/>
          <w:lang w:eastAsia="ru-RU"/>
        </w:rPr>
        <w:t xml:space="preserve"> представителя нанимателя (уполномоченного им лица);</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3.2 компенсация расходов на оплату проезда и провоза багажа к месту использования отпуска и обратно, в том числе представляемая лицам, работающим и проживающим в районах Крайнего Севера и приравненных к ним местностях;</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3.3 средства (бонусы) на накопительных дисконтных картах, предоставленные магазинами розничной торговли, обладателем которых является гражданский служащий (члены его семьи);</w:t>
      </w:r>
    </w:p>
    <w:p w:rsidR="00F40DE4"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lastRenderedPageBreak/>
        <w:t>3.4. счета,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w:t>
      </w:r>
    </w:p>
    <w:p w:rsidR="00BD1420" w:rsidRPr="00BD1420" w:rsidRDefault="00BD1420" w:rsidP="00F40DE4">
      <w:pPr>
        <w:spacing w:after="0" w:line="240" w:lineRule="auto"/>
        <w:ind w:firstLine="708"/>
        <w:jc w:val="both"/>
        <w:rPr>
          <w:rFonts w:ascii="Times New Roman" w:eastAsia="Times New Roman" w:hAnsi="Times New Roman" w:cs="Times New Roman"/>
          <w:sz w:val="28"/>
          <w:szCs w:val="28"/>
          <w:lang w:eastAsia="ru-RU"/>
        </w:rPr>
      </w:pPr>
      <w:r w:rsidRPr="00BD1420">
        <w:rPr>
          <w:rFonts w:ascii="Times New Roman" w:eastAsia="Times New Roman" w:hAnsi="Times New Roman" w:cs="Times New Roman"/>
          <w:sz w:val="28"/>
          <w:szCs w:val="28"/>
          <w:lang w:eastAsia="ru-RU"/>
        </w:rPr>
        <w:t>3.5. сведения о предоставленных налоговых вычетах по налогу на доходы физических лиц, так как в соответствии с пунктом 1 статьи 56 части 1 Налогового кодекса Российской Федерации налоговый вычет является льготой по налогам и сборам, и не относится к доходам.</w:t>
      </w:r>
    </w:p>
    <w:p w:rsidR="00BD1420" w:rsidRPr="008D3D72" w:rsidRDefault="00BD1420" w:rsidP="00D74C6F">
      <w:pPr>
        <w:jc w:val="both"/>
        <w:rPr>
          <w:sz w:val="28"/>
          <w:szCs w:val="28"/>
        </w:rPr>
      </w:pPr>
    </w:p>
    <w:sectPr w:rsidR="00BD1420" w:rsidRPr="008D3D72" w:rsidSect="00867095">
      <w:pgSz w:w="11906" w:h="16838"/>
      <w:pgMar w:top="1134" w:right="1134" w:bottom="1134" w:left="153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420"/>
    <w:rsid w:val="000072DF"/>
    <w:rsid w:val="000D5089"/>
    <w:rsid w:val="001F73F0"/>
    <w:rsid w:val="002475B7"/>
    <w:rsid w:val="0027105D"/>
    <w:rsid w:val="00272A4E"/>
    <w:rsid w:val="00574DC3"/>
    <w:rsid w:val="00647027"/>
    <w:rsid w:val="007C177D"/>
    <w:rsid w:val="007F3794"/>
    <w:rsid w:val="00867095"/>
    <w:rsid w:val="008D3D72"/>
    <w:rsid w:val="00913F16"/>
    <w:rsid w:val="00AE09F7"/>
    <w:rsid w:val="00AE197F"/>
    <w:rsid w:val="00B249B1"/>
    <w:rsid w:val="00BA515C"/>
    <w:rsid w:val="00BB6685"/>
    <w:rsid w:val="00BD1420"/>
    <w:rsid w:val="00D74C6F"/>
    <w:rsid w:val="00F40D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D1420"/>
    <w:rPr>
      <w:color w:val="0000FF"/>
      <w:u w:val="single"/>
    </w:rPr>
  </w:style>
  <w:style w:type="paragraph" w:styleId="a4">
    <w:name w:val="List Paragraph"/>
    <w:basedOn w:val="a"/>
    <w:uiPriority w:val="34"/>
    <w:qFormat/>
    <w:rsid w:val="00AE09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D1420"/>
    <w:rPr>
      <w:color w:val="0000FF"/>
      <w:u w:val="single"/>
    </w:rPr>
  </w:style>
  <w:style w:type="paragraph" w:styleId="a4">
    <w:name w:val="List Paragraph"/>
    <w:basedOn w:val="a"/>
    <w:uiPriority w:val="34"/>
    <w:qFormat/>
    <w:rsid w:val="00AE09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805706">
      <w:bodyDiv w:val="1"/>
      <w:marLeft w:val="0"/>
      <w:marRight w:val="0"/>
      <w:marTop w:val="0"/>
      <w:marBottom w:val="0"/>
      <w:divBdr>
        <w:top w:val="none" w:sz="0" w:space="0" w:color="auto"/>
        <w:left w:val="none" w:sz="0" w:space="0" w:color="auto"/>
        <w:bottom w:val="none" w:sz="0" w:space="0" w:color="auto"/>
        <w:right w:val="none" w:sz="0" w:space="0" w:color="auto"/>
      </w:divBdr>
      <w:divsChild>
        <w:div w:id="471825160">
          <w:marLeft w:val="0"/>
          <w:marRight w:val="0"/>
          <w:marTop w:val="0"/>
          <w:marBottom w:val="0"/>
          <w:divBdr>
            <w:top w:val="none" w:sz="0" w:space="0" w:color="auto"/>
            <w:left w:val="none" w:sz="0" w:space="0" w:color="auto"/>
            <w:bottom w:val="none" w:sz="0" w:space="0" w:color="auto"/>
            <w:right w:val="none" w:sz="0" w:space="0" w:color="auto"/>
          </w:divBdr>
        </w:div>
      </w:divsChild>
    </w:div>
    <w:div w:id="361790449">
      <w:bodyDiv w:val="1"/>
      <w:marLeft w:val="0"/>
      <w:marRight w:val="0"/>
      <w:marTop w:val="0"/>
      <w:marBottom w:val="0"/>
      <w:divBdr>
        <w:top w:val="none" w:sz="0" w:space="0" w:color="auto"/>
        <w:left w:val="none" w:sz="0" w:space="0" w:color="auto"/>
        <w:bottom w:val="none" w:sz="0" w:space="0" w:color="auto"/>
        <w:right w:val="none" w:sz="0" w:space="0" w:color="auto"/>
      </w:divBdr>
      <w:divsChild>
        <w:div w:id="1115100689">
          <w:marLeft w:val="0"/>
          <w:marRight w:val="0"/>
          <w:marTop w:val="0"/>
          <w:marBottom w:val="0"/>
          <w:divBdr>
            <w:top w:val="none" w:sz="0" w:space="0" w:color="auto"/>
            <w:left w:val="none" w:sz="0" w:space="0" w:color="auto"/>
            <w:bottom w:val="none" w:sz="0" w:space="0" w:color="auto"/>
            <w:right w:val="none" w:sz="0" w:space="0" w:color="auto"/>
          </w:divBdr>
        </w:div>
      </w:divsChild>
    </w:div>
    <w:div w:id="1006439105">
      <w:bodyDiv w:val="1"/>
      <w:marLeft w:val="0"/>
      <w:marRight w:val="0"/>
      <w:marTop w:val="0"/>
      <w:marBottom w:val="0"/>
      <w:divBdr>
        <w:top w:val="none" w:sz="0" w:space="0" w:color="auto"/>
        <w:left w:val="none" w:sz="0" w:space="0" w:color="auto"/>
        <w:bottom w:val="none" w:sz="0" w:space="0" w:color="auto"/>
        <w:right w:val="none" w:sz="0" w:space="0" w:color="auto"/>
      </w:divBdr>
      <w:divsChild>
        <w:div w:id="1451242281">
          <w:marLeft w:val="0"/>
          <w:marRight w:val="0"/>
          <w:marTop w:val="0"/>
          <w:marBottom w:val="0"/>
          <w:divBdr>
            <w:top w:val="none" w:sz="0" w:space="0" w:color="auto"/>
            <w:left w:val="none" w:sz="0" w:space="0" w:color="auto"/>
            <w:bottom w:val="none" w:sz="0" w:space="0" w:color="auto"/>
            <w:right w:val="none" w:sz="0" w:space="0" w:color="auto"/>
          </w:divBdr>
        </w:div>
      </w:divsChild>
    </w:div>
    <w:div w:id="1335498094">
      <w:bodyDiv w:val="1"/>
      <w:marLeft w:val="0"/>
      <w:marRight w:val="0"/>
      <w:marTop w:val="0"/>
      <w:marBottom w:val="0"/>
      <w:divBdr>
        <w:top w:val="none" w:sz="0" w:space="0" w:color="auto"/>
        <w:left w:val="none" w:sz="0" w:space="0" w:color="auto"/>
        <w:bottom w:val="none" w:sz="0" w:space="0" w:color="auto"/>
        <w:right w:val="none" w:sz="0" w:space="0" w:color="auto"/>
      </w:divBdr>
      <w:divsChild>
        <w:div w:id="1414399285">
          <w:marLeft w:val="0"/>
          <w:marRight w:val="0"/>
          <w:marTop w:val="0"/>
          <w:marBottom w:val="0"/>
          <w:divBdr>
            <w:top w:val="none" w:sz="0" w:space="0" w:color="auto"/>
            <w:left w:val="none" w:sz="0" w:space="0" w:color="auto"/>
            <w:bottom w:val="none" w:sz="0" w:space="0" w:color="auto"/>
            <w:right w:val="none" w:sz="0" w:space="0" w:color="auto"/>
          </w:divBdr>
        </w:div>
      </w:divsChild>
    </w:div>
    <w:div w:id="1923106727">
      <w:bodyDiv w:val="1"/>
      <w:marLeft w:val="0"/>
      <w:marRight w:val="0"/>
      <w:marTop w:val="0"/>
      <w:marBottom w:val="0"/>
      <w:divBdr>
        <w:top w:val="none" w:sz="0" w:space="0" w:color="auto"/>
        <w:left w:val="none" w:sz="0" w:space="0" w:color="auto"/>
        <w:bottom w:val="none" w:sz="0" w:space="0" w:color="auto"/>
        <w:right w:val="none" w:sz="0" w:space="0" w:color="auto"/>
      </w:divBdr>
      <w:divsChild>
        <w:div w:id="507790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5307</Words>
  <Characters>30256</Characters>
  <Application>Microsoft Office Word</Application>
  <DocSecurity>0</DocSecurity>
  <Lines>252</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USNCOMPUTERS</Company>
  <LinksUpToDate>false</LinksUpToDate>
  <CharactersWithSpaces>35493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USNCOMPUTERS</dc:creator>
  <cp:lastModifiedBy>komp</cp:lastModifiedBy>
  <cp:revision>2</cp:revision>
  <dcterms:created xsi:type="dcterms:W3CDTF">2017-05-04T13:22:00Z</dcterms:created>
  <dcterms:modified xsi:type="dcterms:W3CDTF">2017-05-04T13:22:00Z</dcterms:modified>
</cp:coreProperties>
</file>