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embeddings/_____Microsoft_Office_Excel1.xlsx" ContentType="application/vnd.openxmlformats-officedocument.spreadsheetml.sheet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harts/_rels/chart1.xml.rels" ContentType="application/vnd.openxmlformats-package.relationship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810" w:before="0" w:after="450"/>
        <w:textAlignment w:val="baseline"/>
        <w:outlineLvl w:val="0"/>
        <w:rPr>
          <w:sz w:val="28"/>
          <w:szCs w:val="28"/>
        </w:rPr>
      </w:pPr>
      <w:r>
        <w:rPr>
          <w:rFonts w:ascii="diaria_promedium" w:hAnsi="diaria_promedium"/>
          <w:color w:val="333333"/>
          <w:sz w:val="63"/>
          <w:szCs w:val="63"/>
        </w:rPr>
        <w:t>Мониторинг деятельности субъектов малого и среднего бизнеса</w:t>
      </w:r>
      <w:r>
        <w:rPr>
          <w:sz w:val="28"/>
          <w:szCs w:val="28"/>
        </w:rPr>
        <w:t xml:space="preserve">    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_DdeLink__83_663851180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Существенную роль в развитии экономики района, создании новых рабочих мест, пополнении доходной части бюджета, играет малый бизнес.                  Предпринимательство района по состоянию на 01.01.2017 г. представлено 314 субъектами    предпринимательства: 47 малых и микропредприятий, 16 крестьянско-фермерских хозяйств и 251 индивидуальный предприниматель без образования юридического лица.</w:t>
      </w:r>
    </w:p>
    <w:p>
      <w:pPr>
        <w:pStyle w:val="Normal"/>
        <w:spacing w:lineRule="auto" w:line="360"/>
        <w:jc w:val="both"/>
        <w:rPr>
          <w:i/>
          <w:i/>
          <w:sz w:val="28"/>
          <w:szCs w:val="28"/>
        </w:rPr>
      </w:pPr>
      <w:r>
        <w:rPr/>
        <w:t xml:space="preserve">          </w:t>
      </w:r>
      <w:r>
        <w:rPr>
          <w:sz w:val="28"/>
          <w:szCs w:val="28"/>
        </w:rPr>
        <w:t>Из общего количества действующих малых и средних предприятий 43% занято в розничной торговле, 32% в сельском хозяйстве, 8% в строительстве, 11% в обрабатывающих производствах, 2% в производстве и распределении электроэнергии, газа и воды, 2% в отрасли гостиницы и рестораны, производство электромонтажных работ-2%</w:t>
      </w:r>
      <w:r>
        <w:rPr>
          <w:i/>
          <w:sz w:val="28"/>
          <w:szCs w:val="28"/>
        </w:rPr>
        <w:t>.</w:t>
      </w:r>
    </w:p>
    <w:p>
      <w:pPr>
        <w:pStyle w:val="Normal"/>
        <w:tabs>
          <w:tab w:val="left" w:pos="3525" w:leader="none"/>
        </w:tabs>
        <w:spacing w:lineRule="auto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Количество зарегистрированных субъектов малого и среднего</w:t>
      </w:r>
    </w:p>
    <w:p>
      <w:pPr>
        <w:pStyle w:val="Normal"/>
        <w:tabs>
          <w:tab w:val="left" w:pos="3525" w:leader="none"/>
        </w:tabs>
        <w:spacing w:lineRule="auto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предпринимательства, ед.</w:t>
      </w:r>
    </w:p>
    <w:p>
      <w:pPr>
        <w:pStyle w:val="Normal"/>
        <w:spacing w:lineRule="auto" w:line="360"/>
        <w:jc w:val="both"/>
        <w:rPr>
          <w:highlight w:val="yellow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drawing>
          <wp:inline distT="0" distB="0" distL="0" distR="0">
            <wp:extent cx="5486400" cy="341947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Индивидуальные предприниматели заняты в следующих отраслях экономики района: оптовая и розничная торговля и ремонт автотранспортных средств-56,7%, транспорт и связь-12,2%, сельское хозяйство-8,5%, операции с недвижимым имуществом, аренда и предоставление услуг-6,3%, предоставление прочих коммунальных, персональных и социальных услуг-6,3%, промышленность-2,6%, строительство-3,3%, финансовая деятельность-2,2%, гостиницы и рестораны-1,9%.</w:t>
      </w:r>
    </w:p>
    <w:p>
      <w:pPr>
        <w:pStyle w:val="NoSpacing"/>
        <w:spacing w:lineRule="auto" w:line="360"/>
        <w:ind w:right="-82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В районе действует муниципальная программа «Развития субъектов малого и среднего предпринимательства в Торбеевском муниципальном районе на 2017-2021 годы».</w:t>
      </w:r>
    </w:p>
    <w:p>
      <w:pPr>
        <w:pStyle w:val="Normal"/>
        <w:tabs>
          <w:tab w:val="left" w:pos="3525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По показателю число субъектов малого и среднего предпринимательства в расчете на 10 тыс. человек населения в 2016 году произошло снижение показателя со 165 до 164 единиц в результате снижения числа индивидуальных предпринимателей на 6 единиц, микропредприятий на 2 единицы, и малых предприятий на 2 единицы.</w:t>
      </w:r>
    </w:p>
    <w:p>
      <w:pPr>
        <w:pStyle w:val="Normal"/>
        <w:tabs>
          <w:tab w:val="left" w:pos="3525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уменьшился с 21,7% до 19,6</w:t>
      </w:r>
      <w:bookmarkStart w:id="1" w:name="_GoBack"/>
      <w:bookmarkEnd w:id="1"/>
      <w:bookmarkEnd w:id="0"/>
      <w:r>
        <w:rPr>
          <w:sz w:val="28"/>
          <w:szCs w:val="28"/>
        </w:rPr>
        <w:t xml:space="preserve"> % за счет роста числа, работающих в крупных предприятиях на 102 человека (с 3663 до 3765 чел.)  и сокращения работников при закрытии 2 микропредприятий и 2 малых предприятий в 2016 году.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diaria_promedium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7f1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627f18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NoSpacing">
    <w:name w:val="No Spacing"/>
    <w:uiPriority w:val="1"/>
    <w:qFormat/>
    <w:rsid w:val="00627f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sz w:val="24"/>
      <w:szCs w:val="22"/>
      <w:lang w:eastAsia="ru-RU" w:val="ru-RU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627f18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Office_Excel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малые и микропредприятия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5"/>
                <c:pt idx="0">
                  <c:v>2012 г.</c:v>
                </c:pt>
                <c:pt idx="1">
                  <c:v>2013 г.</c:v>
                </c:pt>
                <c:pt idx="2">
                  <c:v>2014 г.</c:v>
                </c:pt>
                <c:pt idx="3">
                  <c:v>2015 г.</c:v>
                </c:pt>
                <c:pt idx="4">
                  <c:v>2016 г.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5"/>
                <c:pt idx="0">
                  <c:v>63</c:v>
                </c:pt>
                <c:pt idx="1">
                  <c:v>64</c:v>
                </c:pt>
                <c:pt idx="2">
                  <c:v>57</c:v>
                </c:pt>
                <c:pt idx="3">
                  <c:v>50</c:v>
                </c:pt>
                <c:pt idx="4">
                  <c:v>47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ИП</c:v>
                </c:pt>
              </c:strCache>
            </c:strRef>
          </c:tx>
          <c:spPr>
            <a:solidFill>
              <a:srgbClr val="c0504d"/>
            </a:solidFill>
            <a:ln>
              <a:noFill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5"/>
                <c:pt idx="0">
                  <c:v>2012 г.</c:v>
                </c:pt>
                <c:pt idx="1">
                  <c:v>2013 г.</c:v>
                </c:pt>
                <c:pt idx="2">
                  <c:v>2014 г.</c:v>
                </c:pt>
                <c:pt idx="3">
                  <c:v>2015 г.</c:v>
                </c:pt>
                <c:pt idx="4">
                  <c:v>2016 г.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5"/>
                <c:pt idx="0">
                  <c:v>270</c:v>
                </c:pt>
                <c:pt idx="1">
                  <c:v>240</c:v>
                </c:pt>
                <c:pt idx="2">
                  <c:v>249</c:v>
                </c:pt>
                <c:pt idx="3">
                  <c:v>257</c:v>
                </c:pt>
                <c:pt idx="4">
                  <c:v>251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КФХ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5"/>
                <c:pt idx="0">
                  <c:v>2012 г.</c:v>
                </c:pt>
                <c:pt idx="1">
                  <c:v>2013 г.</c:v>
                </c:pt>
                <c:pt idx="2">
                  <c:v>2014 г.</c:v>
                </c:pt>
                <c:pt idx="3">
                  <c:v>2015 г.</c:v>
                </c:pt>
                <c:pt idx="4">
                  <c:v>2016 г.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5"/>
                <c:pt idx="0">
                  <c:v>12</c:v>
                </c:pt>
                <c:pt idx="1">
                  <c:v>11</c:v>
                </c:pt>
                <c:pt idx="2">
                  <c:v>15</c:v>
                </c:pt>
                <c:pt idx="3">
                  <c:v>15</c:v>
                </c:pt>
                <c:pt idx="4">
                  <c:v>16</c:v>
                </c:pt>
              </c:numCache>
            </c:numRef>
          </c:val>
        </c:ser>
        <c:gapWidth val="150"/>
        <c:shape val="box"/>
        <c:axId val="48813347"/>
        <c:axId val="67215725"/>
        <c:axId val="0"/>
      </c:bar3DChart>
      <c:catAx>
        <c:axId val="48813347"/>
        <c:scaling>
          <c:orientation val="minMax"/>
        </c:scaling>
        <c:delete val="0"/>
        <c:axPos val="b"/>
        <c:numFmt formatCode="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p>
            <a:pPr>
              <a:defRPr b="0" sz="1000" spc="-1" strike="noStrike">
                <a:solidFill>
                  <a:srgbClr val="000000"/>
                </a:solidFill>
                <a:uFill>
                  <a:solidFill>
                    <a:srgbClr val="ffffff"/>
                  </a:solidFill>
                </a:uFill>
                <a:latin typeface="Calibri"/>
              </a:defRPr>
            </a:pPr>
          </a:p>
        </c:txPr>
        <c:crossAx val="67215725"/>
        <c:crosses val="autoZero"/>
        <c:auto val="1"/>
        <c:lblAlgn val="ctr"/>
        <c:lblOffset val="100"/>
      </c:catAx>
      <c:valAx>
        <c:axId val="67215725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p>
            <a:pPr>
              <a:defRPr b="0" sz="1000" spc="-1" strike="noStrike">
                <a:solidFill>
                  <a:srgbClr val="000000"/>
                </a:solidFill>
                <a:uFill>
                  <a:solidFill>
                    <a:srgbClr val="ffffff"/>
                  </a:solidFill>
                </a:uFill>
                <a:latin typeface="Calibri"/>
              </a:defRPr>
            </a:pPr>
          </a:p>
        </c:txPr>
        <c:crossAx val="48813347"/>
        <c:crosses val="autoZero"/>
        <c:crossBetween val="midCat"/>
      </c:valAx>
      <c:spPr>
        <a:noFill/>
        <a:ln w="9360">
          <a:solidFill>
            <a:srgbClr val="878787"/>
          </a:solidFill>
          <a:round/>
        </a:ln>
      </c:spPr>
    </c:plotArea>
    <c:legend>
      <c:legendPos val="b"/>
      <c:overlay val="0"/>
      <c:spPr>
        <a:noFill/>
        <a:ln>
          <a:noFill/>
        </a:ln>
      </c:spPr>
    </c:legend>
    <c:plotVisOnly val="1"/>
    <c:dispBlanksAs val="gap"/>
  </c:chart>
  <c:spPr>
    <a:solidFill>
      <a:srgbClr val="ffffff"/>
    </a:solidFill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F4D8D-6B25-4D81-B826-ED7759311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LibreOffice/5.1.6.2$Linux_X86_64 LibreOffice_project/10m0$Build-2</Application>
  <Pages>2</Pages>
  <Words>335</Words>
  <CharactersWithSpaces>1913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2018-01-23T07:48:00Z</dcterms:created>
  <dc:creator>Светлана</dc:creator>
  <dc:description/>
  <dc:language>ru-RU</dc:language>
  <cp:lastModifiedBy>Светлана</cp:lastModifiedBy>
  <dcterms:modified xsi:type="dcterms:W3CDTF">2018-01-23T07:48:00Z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