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32"/>
        <w:spacing w:lineRule="auto" w:line="240" w:before="0" w:after="0"/>
        <w:jc w:val="right"/>
        <w:rPr/>
      </w:pPr>
      <w:r>
        <w:rPr>
          <w:rFonts w:ascii="Times New Roman" w:hAnsi="Times New Roman"/>
          <w:b/>
          <w:bCs/>
          <w:szCs w:val="20"/>
          <w:lang w:eastAsia="ru-RU"/>
        </w:rPr>
        <w:t>Утверждаю:</w:t>
      </w:r>
    </w:p>
    <w:p>
      <w:pPr>
        <w:pStyle w:val="Style32"/>
        <w:spacing w:lineRule="auto" w:line="240" w:before="0" w:after="0"/>
        <w:jc w:val="right"/>
        <w:rPr>
          <w:rFonts w:ascii="Times New Roman" w:hAnsi="Times New Roman"/>
          <w:szCs w:val="20"/>
          <w:lang w:eastAsia="ru-RU"/>
        </w:rPr>
      </w:pPr>
      <w:r>
        <w:rPr>
          <w:rFonts w:ascii="Times New Roman" w:hAnsi="Times New Roman"/>
          <w:szCs w:val="20"/>
          <w:lang w:eastAsia="ru-RU"/>
        </w:rPr>
        <w:t xml:space="preserve">Глава Торбеевского </w:t>
      </w:r>
    </w:p>
    <w:p>
      <w:pPr>
        <w:pStyle w:val="Style32"/>
        <w:spacing w:lineRule="auto" w:line="240" w:before="0" w:after="0"/>
        <w:jc w:val="right"/>
        <w:rPr>
          <w:rFonts w:ascii="Times New Roman" w:hAnsi="Times New Roman"/>
          <w:szCs w:val="20"/>
          <w:lang w:eastAsia="ru-RU"/>
        </w:rPr>
      </w:pPr>
      <w:r>
        <w:rPr>
          <w:rFonts w:ascii="Times New Roman" w:hAnsi="Times New Roman"/>
          <w:szCs w:val="20"/>
          <w:lang w:eastAsia="ru-RU"/>
        </w:rPr>
        <w:t>муниципального района</w:t>
      </w:r>
    </w:p>
    <w:p>
      <w:pPr>
        <w:pStyle w:val="Style32"/>
        <w:spacing w:lineRule="auto" w:line="240" w:before="0" w:after="0"/>
        <w:jc w:val="right"/>
        <w:rPr/>
      </w:pPr>
      <w:r>
        <w:rPr/>
      </w:r>
    </w:p>
    <w:p>
      <w:pPr>
        <w:pStyle w:val="Style32"/>
        <w:spacing w:lineRule="auto" w:line="240" w:before="0" w:after="0"/>
        <w:jc w:val="right"/>
        <w:rPr>
          <w:rFonts w:ascii="Times New Roman" w:hAnsi="Times New Roman"/>
          <w:szCs w:val="20"/>
          <w:lang w:eastAsia="ru-RU"/>
        </w:rPr>
      </w:pPr>
      <w:r>
        <w:rPr>
          <w:rFonts w:ascii="Times New Roman" w:hAnsi="Times New Roman"/>
          <w:szCs w:val="20"/>
          <w:lang w:eastAsia="ru-RU"/>
        </w:rPr>
        <w:t>____________________Ладяев С.В.</w:t>
      </w:r>
    </w:p>
    <w:p>
      <w:pPr>
        <w:pStyle w:val="Style32"/>
        <w:spacing w:lineRule="auto" w:line="240" w:before="0" w:after="0"/>
        <w:jc w:val="right"/>
        <w:rPr/>
      </w:pPr>
      <w:r>
        <w:rPr>
          <w:rFonts w:ascii="Times New Roman" w:hAnsi="Times New Roman"/>
          <w:szCs w:val="20"/>
          <w:lang w:eastAsia="ru-RU"/>
        </w:rPr>
        <w:t>«___»______________2018 г.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План мероприятий («дорожная карта»)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содействию  развитию конкуренции Торбеевского  муниципального района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</w:r>
    </w:p>
    <w:tbl>
      <w:tblPr>
        <w:tblW w:w="15888" w:type="dxa"/>
        <w:jc w:val="left"/>
        <w:tblInd w:w="-45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22"/>
        <w:gridCol w:w="413"/>
        <w:gridCol w:w="92"/>
        <w:gridCol w:w="46"/>
        <w:gridCol w:w="2576"/>
        <w:gridCol w:w="576"/>
        <w:gridCol w:w="132"/>
        <w:gridCol w:w="474"/>
        <w:gridCol w:w="449"/>
        <w:gridCol w:w="312"/>
        <w:gridCol w:w="74"/>
        <w:gridCol w:w="45"/>
        <w:gridCol w:w="19"/>
        <w:gridCol w:w="785"/>
        <w:gridCol w:w="25"/>
        <w:gridCol w:w="27"/>
        <w:gridCol w:w="119"/>
        <w:gridCol w:w="274"/>
        <w:gridCol w:w="376"/>
        <w:gridCol w:w="2"/>
        <w:gridCol w:w="33"/>
        <w:gridCol w:w="131"/>
        <w:gridCol w:w="535"/>
        <w:gridCol w:w="129"/>
        <w:gridCol w:w="119"/>
        <w:gridCol w:w="46"/>
        <w:gridCol w:w="14"/>
        <w:gridCol w:w="385"/>
        <w:gridCol w:w="1"/>
        <w:gridCol w:w="205"/>
        <w:gridCol w:w="237"/>
        <w:gridCol w:w="11"/>
        <w:gridCol w:w="597"/>
        <w:gridCol w:w="2"/>
        <w:gridCol w:w="108"/>
        <w:gridCol w:w="138"/>
        <w:gridCol w:w="223"/>
        <w:gridCol w:w="627"/>
        <w:gridCol w:w="2"/>
        <w:gridCol w:w="645"/>
        <w:gridCol w:w="899"/>
        <w:gridCol w:w="2"/>
        <w:gridCol w:w="767"/>
        <w:gridCol w:w="99"/>
        <w:gridCol w:w="1"/>
        <w:gridCol w:w="2892"/>
      </w:tblGrid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251" w:type="dxa"/>
            <w:gridSpan w:val="4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I. Системные показатели и мероприятия, направленные на развитие конкурентной среды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251" w:type="dxa"/>
            <w:gridSpan w:val="4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bCs/>
                <w:sz w:val="21"/>
                <w:szCs w:val="21"/>
              </w:rPr>
              <w:t>Мероприятия, направленные на оптимизацию процедур закупок товаров, работ, услуг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251" w:type="dxa"/>
            <w:gridSpan w:val="4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Целевые показатели</w:t>
            </w:r>
          </w:p>
        </w:tc>
      </w:tr>
      <w:tr>
        <w:trPr>
          <w:trHeight w:val="680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jc w:val="center"/>
              <w:rPr/>
            </w:pPr>
            <w:r>
              <w:rPr/>
            </w:r>
          </w:p>
        </w:tc>
        <w:tc>
          <w:tcPr>
            <w:tcW w:w="2714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Наименование  показателя</w:t>
            </w:r>
          </w:p>
        </w:tc>
        <w:tc>
          <w:tcPr>
            <w:tcW w:w="1182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Ключевые показатели эффектив-ности (далее КПЭ)</w:t>
            </w:r>
          </w:p>
        </w:tc>
        <w:tc>
          <w:tcPr>
            <w:tcW w:w="835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2017 год</w:t>
            </w:r>
          </w:p>
        </w:tc>
        <w:tc>
          <w:tcPr>
            <w:tcW w:w="3065" w:type="dxa"/>
            <w:gridSpan w:val="1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Значение КПЭ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(целевые ориентиры)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Результат</w:t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Ответственные исполнители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определяются внутренним распорядительным документом Главы муниципального образования</w:t>
            </w:r>
          </w:p>
        </w:tc>
      </w:tr>
      <w:tr>
        <w:trPr>
          <w:trHeight w:val="332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2714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1182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35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90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2018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77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2019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69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2020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69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2021 год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220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271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18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8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90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77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69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69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271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Доля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 «О закупках товаров, работ, услуг отдельными видами юридических лиц» (44-ФЗ)</w:t>
            </w:r>
          </w:p>
        </w:tc>
        <w:tc>
          <w:tcPr>
            <w:tcW w:w="118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процент</w:t>
            </w:r>
          </w:p>
        </w:tc>
        <w:tc>
          <w:tcPr>
            <w:tcW w:w="8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43</w:t>
            </w:r>
          </w:p>
        </w:tc>
        <w:tc>
          <w:tcPr>
            <w:tcW w:w="90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45</w:t>
            </w:r>
          </w:p>
        </w:tc>
        <w:tc>
          <w:tcPr>
            <w:tcW w:w="77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50</w:t>
            </w:r>
          </w:p>
        </w:tc>
        <w:tc>
          <w:tcPr>
            <w:tcW w:w="69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50</w:t>
            </w:r>
          </w:p>
        </w:tc>
        <w:tc>
          <w:tcPr>
            <w:tcW w:w="69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50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pacing w:lineRule="auto" w:line="240"/>
              <w:jc w:val="both"/>
              <w:rPr/>
            </w:pPr>
            <w:r>
              <w:rPr>
                <w:sz w:val="21"/>
                <w:szCs w:val="21"/>
              </w:rPr>
              <w:t xml:space="preserve">развитие конкуренции при осуществлении процедур муниципальных закупок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района, Прохина Ирина Геннадьевна — зав. отделом муниципального заказа,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271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Число участников конкурентных процедур определения поставщиков (подрядчиков, исполнителей) при осуществлении закупок для обеспечения муниципальных нужд (44-ФЗ)</w:t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18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единиц</w:t>
            </w:r>
          </w:p>
        </w:tc>
        <w:tc>
          <w:tcPr>
            <w:tcW w:w="8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90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2,5</w:t>
            </w:r>
          </w:p>
        </w:tc>
        <w:tc>
          <w:tcPr>
            <w:tcW w:w="77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2,5</w:t>
            </w:r>
          </w:p>
        </w:tc>
        <w:tc>
          <w:tcPr>
            <w:tcW w:w="69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2,5</w:t>
            </w:r>
          </w:p>
        </w:tc>
        <w:tc>
          <w:tcPr>
            <w:tcW w:w="69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2,5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pacing w:lineRule="auto" w:line="240"/>
              <w:jc w:val="both"/>
              <w:rPr/>
            </w:pPr>
            <w:r>
              <w:rPr>
                <w:sz w:val="21"/>
                <w:szCs w:val="21"/>
              </w:rPr>
              <w:t xml:space="preserve">развитие конкуренции при осуществлении процедур муниципальных закупок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района, Прохина Ирина Геннадьевна — зав. отделом муниципального заказа,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251" w:type="dxa"/>
            <w:gridSpan w:val="4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Мероприятия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3896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Наименование показателя</w:t>
            </w:r>
          </w:p>
        </w:tc>
        <w:tc>
          <w:tcPr>
            <w:tcW w:w="3900" w:type="dxa"/>
            <w:gridSpan w:val="2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Срок реализации</w:t>
            </w:r>
          </w:p>
        </w:tc>
        <w:tc>
          <w:tcPr>
            <w:tcW w:w="7455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Ответственные исполнители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3896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Развитие конкуренции при осуществлении процедур  муниципальных закупок за счет  обеспечение прозрачности и доступности закупок товаров, работ и услуг</w:t>
            </w:r>
          </w:p>
        </w:tc>
        <w:tc>
          <w:tcPr>
            <w:tcW w:w="3900" w:type="dxa"/>
            <w:gridSpan w:val="2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2018-2021 годы</w:t>
            </w:r>
          </w:p>
        </w:tc>
        <w:tc>
          <w:tcPr>
            <w:tcW w:w="7455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района, Прохина Ирина Геннадьевна — зав. отделом муниципального заказа,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3896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jc w:val="both"/>
              <w:rPr/>
            </w:pPr>
            <w:r>
              <w:rPr>
                <w:sz w:val="21"/>
                <w:szCs w:val="21"/>
              </w:rPr>
              <w:t>Проведение процедур закупок путем  размещения извещений об осуществлении закупок для муниципальных нужд в единой информационной системе (</w:t>
            </w:r>
            <w:hyperlink r:id="rId2">
              <w:r>
                <w:rPr>
                  <w:rStyle w:val="Style15"/>
                  <w:sz w:val="21"/>
                  <w:szCs w:val="21"/>
                  <w:lang w:val="en-US"/>
                </w:rPr>
                <w:t>www</w:t>
              </w:r>
            </w:hyperlink>
            <w:hyperlink r:id="rId3">
              <w:r>
                <w:rPr>
                  <w:rStyle w:val="Style15"/>
                  <w:sz w:val="21"/>
                  <w:szCs w:val="21"/>
                </w:rPr>
                <w:t>.</w:t>
              </w:r>
            </w:hyperlink>
            <w:hyperlink r:id="rId4">
              <w:r>
                <w:rPr>
                  <w:rStyle w:val="Style15"/>
                  <w:sz w:val="21"/>
                  <w:szCs w:val="21"/>
                  <w:lang w:val="en-US"/>
                </w:rPr>
                <w:t>zakupki</w:t>
              </w:r>
            </w:hyperlink>
            <w:hyperlink r:id="rId5">
              <w:r>
                <w:rPr>
                  <w:rStyle w:val="Style15"/>
                  <w:sz w:val="21"/>
                  <w:szCs w:val="21"/>
                </w:rPr>
                <w:t>.</w:t>
              </w:r>
            </w:hyperlink>
            <w:hyperlink r:id="rId6">
              <w:r>
                <w:rPr>
                  <w:rStyle w:val="Style15"/>
                  <w:sz w:val="21"/>
                  <w:szCs w:val="21"/>
                  <w:lang w:val="en-US"/>
                </w:rPr>
                <w:t>gov</w:t>
              </w:r>
            </w:hyperlink>
            <w:hyperlink r:id="rId7">
              <w:r>
                <w:rPr>
                  <w:rStyle w:val="Style15"/>
                  <w:sz w:val="21"/>
                  <w:szCs w:val="21"/>
                </w:rPr>
                <w:t>.</w:t>
              </w:r>
            </w:hyperlink>
            <w:hyperlink r:id="rId8">
              <w:r>
                <w:rPr>
                  <w:rStyle w:val="Style15"/>
                  <w:sz w:val="21"/>
                  <w:szCs w:val="21"/>
                  <w:lang w:val="en-US"/>
                </w:rPr>
                <w:t>ru</w:t>
              </w:r>
            </w:hyperlink>
            <w:r>
              <w:rPr>
                <w:sz w:val="21"/>
                <w:szCs w:val="21"/>
              </w:rPr>
              <w:t>) в сроки и порядке установленном законодательством</w:t>
            </w:r>
          </w:p>
        </w:tc>
        <w:tc>
          <w:tcPr>
            <w:tcW w:w="3900" w:type="dxa"/>
            <w:gridSpan w:val="2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2018-2021 годы</w:t>
            </w:r>
          </w:p>
        </w:tc>
        <w:tc>
          <w:tcPr>
            <w:tcW w:w="7455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района,  Прохина Ирина Геннадьевна — зав. отделом муниципального заказа,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251" w:type="dxa"/>
            <w:gridSpan w:val="4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 xml:space="preserve">Мероприятия, направленные на устранение избыточного муниципального регулирования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bCs/>
                <w:sz w:val="21"/>
                <w:szCs w:val="21"/>
              </w:rPr>
              <w:t>и снижение административных барьеров</w:t>
            </w:r>
            <w:r>
              <w:rPr>
                <w:b/>
                <w:bCs/>
                <w:sz w:val="21"/>
                <w:szCs w:val="21"/>
              </w:rPr>
              <w:t xml:space="preserve">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251" w:type="dxa"/>
            <w:gridSpan w:val="4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Целевые показатели</w:t>
            </w:r>
          </w:p>
        </w:tc>
      </w:tr>
      <w:tr>
        <w:trPr>
          <w:trHeight w:val="680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jc w:val="center"/>
              <w:rPr/>
            </w:pPr>
            <w:r>
              <w:rPr/>
            </w:r>
          </w:p>
        </w:tc>
        <w:tc>
          <w:tcPr>
            <w:tcW w:w="2714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Наименование  показателя</w:t>
            </w:r>
          </w:p>
        </w:tc>
        <w:tc>
          <w:tcPr>
            <w:tcW w:w="1182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Ключевые показатели эффектив-ности (далее КПЭ)</w:t>
            </w:r>
          </w:p>
        </w:tc>
        <w:tc>
          <w:tcPr>
            <w:tcW w:w="835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2017 год</w:t>
            </w:r>
          </w:p>
        </w:tc>
        <w:tc>
          <w:tcPr>
            <w:tcW w:w="3065" w:type="dxa"/>
            <w:gridSpan w:val="1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Значение КПЭ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(целевые ориентиры)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Результат</w:t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Ответственные исполнители</w:t>
            </w:r>
          </w:p>
        </w:tc>
      </w:tr>
      <w:tr>
        <w:trPr>
          <w:trHeight w:val="332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2714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1182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35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90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2018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77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2019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69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2020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69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2021 год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214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271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18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8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90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77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69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69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271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Среднее число обращений представителей бизнес-сообщества в орган местного самоуправления для получения одной муниципальной  услуги, связанной со сферой предпринимательской деятельности </w:t>
            </w:r>
          </w:p>
        </w:tc>
        <w:tc>
          <w:tcPr>
            <w:tcW w:w="118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единиц</w:t>
            </w:r>
          </w:p>
        </w:tc>
        <w:tc>
          <w:tcPr>
            <w:tcW w:w="8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90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77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69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69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устранение избыточного муниципального регулирования, снижение административных барьеров </w:t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Корнеева Светлана Александровна - Заместитель Главы  района,  во взаимодействии с подразделениями, отвечающими за соответствующее направление  во взаимодействии с  субъектами малого и среднего предпринимательства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251" w:type="dxa"/>
            <w:gridSpan w:val="4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Мероприятия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3896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Наименование мероприятия</w:t>
            </w:r>
          </w:p>
        </w:tc>
        <w:tc>
          <w:tcPr>
            <w:tcW w:w="3900" w:type="dxa"/>
            <w:gridSpan w:val="2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Срок реализации</w:t>
            </w:r>
          </w:p>
        </w:tc>
        <w:tc>
          <w:tcPr>
            <w:tcW w:w="7455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Исполнители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3896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Проведение оценки регулирующего воздействия проектов нормативно-правовых актов по: воздействию на состояние конкуренции анализу действующих нормативных правовых актов с целью устранения избыточного муниципального регулирования, в т.ч. избыточных функций, и их оптимизация </w:t>
            </w:r>
          </w:p>
        </w:tc>
        <w:tc>
          <w:tcPr>
            <w:tcW w:w="3900" w:type="dxa"/>
            <w:gridSpan w:val="2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 </w:t>
            </w:r>
            <w:r>
              <w:rPr>
                <w:rFonts w:ascii="Times New Roman" w:hAnsi="Times New Roman"/>
                <w:sz w:val="21"/>
                <w:szCs w:val="21"/>
              </w:rPr>
              <w:t>2018 – 2021 годы</w:t>
            </w:r>
          </w:p>
        </w:tc>
        <w:tc>
          <w:tcPr>
            <w:tcW w:w="7455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района, Тулапин Алексей Александрович — начальник правового управления,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251" w:type="dxa"/>
            <w:gridSpan w:val="4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 xml:space="preserve">Мероприятия, направленные  на совершенствование процессов управления объектами  муниципальной собственности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251" w:type="dxa"/>
            <w:gridSpan w:val="4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Целевые показатели</w:t>
            </w:r>
          </w:p>
        </w:tc>
      </w:tr>
      <w:tr>
        <w:trPr>
          <w:trHeight w:val="680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jc w:val="center"/>
              <w:rPr/>
            </w:pPr>
            <w:r>
              <w:rPr/>
            </w:r>
          </w:p>
        </w:tc>
        <w:tc>
          <w:tcPr>
            <w:tcW w:w="2714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Наименование  показателя</w:t>
            </w:r>
          </w:p>
        </w:tc>
        <w:tc>
          <w:tcPr>
            <w:tcW w:w="1182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Ключевые показатели эффектив-ности (далее КПЭ)</w:t>
            </w:r>
          </w:p>
        </w:tc>
        <w:tc>
          <w:tcPr>
            <w:tcW w:w="835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2017 год</w:t>
            </w:r>
          </w:p>
        </w:tc>
        <w:tc>
          <w:tcPr>
            <w:tcW w:w="3065" w:type="dxa"/>
            <w:gridSpan w:val="1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Значение КПЭ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(целевые ориентиры)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Результат</w:t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Ответственные исполнители</w:t>
            </w:r>
          </w:p>
        </w:tc>
      </w:tr>
      <w:tr>
        <w:trPr>
          <w:trHeight w:val="332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2714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1182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35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90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2018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77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2019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69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2020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69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2021 год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150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271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18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8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90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77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69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69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271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Темп роста количества приватизированных объектов муниципального имущества в соответствии с Прогнозным планом (программой) «О приватизации муниципального имущества  Торбеевского муниципального района Республики Мордовия на 2016 и на плановый 2017-2018 гг»</w:t>
            </w:r>
          </w:p>
        </w:tc>
        <w:tc>
          <w:tcPr>
            <w:tcW w:w="118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процент</w:t>
            </w:r>
          </w:p>
        </w:tc>
        <w:tc>
          <w:tcPr>
            <w:tcW w:w="8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в 7 раз</w:t>
            </w:r>
          </w:p>
        </w:tc>
        <w:tc>
          <w:tcPr>
            <w:tcW w:w="90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napToGrid w:val="false"/>
              <w:rPr/>
            </w:pPr>
            <w:r>
              <w:rPr>
                <w:sz w:val="21"/>
                <w:szCs w:val="21"/>
              </w:rPr>
              <w:t>100</w:t>
            </w:r>
          </w:p>
        </w:tc>
        <w:tc>
          <w:tcPr>
            <w:tcW w:w="77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napToGrid w:val="false"/>
              <w:rPr/>
            </w:pPr>
            <w:r>
              <w:rPr/>
              <w:t>80</w:t>
            </w:r>
          </w:p>
        </w:tc>
        <w:tc>
          <w:tcPr>
            <w:tcW w:w="69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napToGrid w:val="false"/>
              <w:rPr/>
            </w:pPr>
            <w:r>
              <w:rPr/>
              <w:t>70</w:t>
            </w:r>
          </w:p>
        </w:tc>
        <w:tc>
          <w:tcPr>
            <w:tcW w:w="69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napToGrid w:val="false"/>
              <w:rPr/>
            </w:pPr>
            <w:r>
              <w:rPr/>
              <w:t>70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ограничение влияния муниципальных предприятий на конкуренцию, повышение эффективности управления объектами муниципальной собственности</w:t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района,  Беззубова Елизавета Шотовна — зав. отделом по имущественным и земельным отношениям,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5664" w:type="dxa"/>
            <w:gridSpan w:val="4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Мероприятия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375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Наименование мероприятия</w:t>
            </w:r>
          </w:p>
        </w:tc>
        <w:tc>
          <w:tcPr>
            <w:tcW w:w="3900" w:type="dxa"/>
            <w:gridSpan w:val="2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Срок реализации</w:t>
            </w:r>
          </w:p>
        </w:tc>
        <w:tc>
          <w:tcPr>
            <w:tcW w:w="7455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Исполнители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1.</w:t>
            </w:r>
          </w:p>
        </w:tc>
        <w:tc>
          <w:tcPr>
            <w:tcW w:w="375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Разработка, утверждение и выполнение  порграммы «Управление муниципальным имуществом и земельными ресурсами Торбеевского муниципального района»</w:t>
            </w:r>
          </w:p>
        </w:tc>
        <w:tc>
          <w:tcPr>
            <w:tcW w:w="3900" w:type="dxa"/>
            <w:gridSpan w:val="2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2018-2021 годы</w:t>
            </w:r>
          </w:p>
        </w:tc>
        <w:tc>
          <w:tcPr>
            <w:tcW w:w="7455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Шичкин Сергей Федорович - Заместитель Главы  района,  Беззубова Елизавета Шотовна — зав. отделом по имущественным и земельным отношениям,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375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jc w:val="both"/>
              <w:rPr/>
            </w:pPr>
            <w:r>
              <w:rPr>
                <w:sz w:val="21"/>
                <w:szCs w:val="21"/>
              </w:rPr>
              <w:t>Содействие в создании условий по организации и проведению публичных торгов или иных конкурентных процедур при переходе прав владения или пользования муниципальным имуществом</w:t>
            </w:r>
          </w:p>
        </w:tc>
        <w:tc>
          <w:tcPr>
            <w:tcW w:w="3900" w:type="dxa"/>
            <w:gridSpan w:val="2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2018-2021 годы</w:t>
            </w:r>
          </w:p>
        </w:tc>
        <w:tc>
          <w:tcPr>
            <w:tcW w:w="7455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района,  Беззубова Елизавета Шотовна — зав. отделом по имущественным и земельным отношениям,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4.</w:t>
            </w:r>
          </w:p>
        </w:tc>
        <w:tc>
          <w:tcPr>
            <w:tcW w:w="375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Проведение мониторинга деятельности хозяйствующих субъектов, доля участия муниципального района в которых составляет 50 и более процентов (включая МУПы), предусматривающий формирование реестра указанных хозяйствующих субъектов, осуществляющих деятельность на территории района</w:t>
            </w:r>
          </w:p>
        </w:tc>
        <w:tc>
          <w:tcPr>
            <w:tcW w:w="3900" w:type="dxa"/>
            <w:gridSpan w:val="2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ежегодно, до 1 декабря</w:t>
            </w:r>
          </w:p>
        </w:tc>
        <w:tc>
          <w:tcPr>
            <w:tcW w:w="7455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района, Беззубова Елизавета Шотовна — зав. отделом по имущественным и земельным отношениям,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 xml:space="preserve">Мероприятия, направленные на стимулирование предпринимательской инициативы,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поддержку научной, творческой и предпринимательской активности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Целевые показатели</w:t>
            </w:r>
          </w:p>
        </w:tc>
      </w:tr>
      <w:tr>
        <w:trPr>
          <w:trHeight w:val="680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jc w:val="center"/>
              <w:rPr/>
            </w:pPr>
            <w:r>
              <w:rPr/>
            </w:r>
          </w:p>
        </w:tc>
        <w:tc>
          <w:tcPr>
            <w:tcW w:w="257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Наименование  показателя</w:t>
            </w:r>
          </w:p>
        </w:tc>
        <w:tc>
          <w:tcPr>
            <w:tcW w:w="1182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Ключевые показатели эффектив-ности (далее КПЭ)</w:t>
            </w:r>
          </w:p>
        </w:tc>
        <w:tc>
          <w:tcPr>
            <w:tcW w:w="835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2017 год</w:t>
            </w:r>
          </w:p>
        </w:tc>
        <w:tc>
          <w:tcPr>
            <w:tcW w:w="3065" w:type="dxa"/>
            <w:gridSpan w:val="1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Значение КПЭ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(целевые ориентиры)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Результат</w:t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Ответственные исполнители</w:t>
            </w:r>
          </w:p>
        </w:tc>
      </w:tr>
      <w:tr>
        <w:trPr>
          <w:trHeight w:val="332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257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1182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35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90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2018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77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2019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69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2020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69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2021 год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111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25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18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8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90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77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69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69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</w:tr>
      <w:tr>
        <w:trPr>
          <w:trHeight w:val="383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25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Количество субъектов малого и среднего предпринимательства, получивших  государственную (муниципальную) поддержку </w:t>
            </w:r>
          </w:p>
        </w:tc>
        <w:tc>
          <w:tcPr>
            <w:tcW w:w="118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единиц</w:t>
            </w:r>
          </w:p>
        </w:tc>
        <w:tc>
          <w:tcPr>
            <w:tcW w:w="8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8</w:t>
            </w:r>
          </w:p>
        </w:tc>
        <w:tc>
          <w:tcPr>
            <w:tcW w:w="90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7</w:t>
            </w:r>
          </w:p>
        </w:tc>
        <w:tc>
          <w:tcPr>
            <w:tcW w:w="77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7</w:t>
            </w:r>
          </w:p>
        </w:tc>
        <w:tc>
          <w:tcPr>
            <w:tcW w:w="69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7</w:t>
            </w:r>
          </w:p>
        </w:tc>
        <w:tc>
          <w:tcPr>
            <w:tcW w:w="69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7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развитие предпринимательства, создание новых рабочих мест, увеличение поступлений в бюджет </w:t>
            </w:r>
          </w:p>
        </w:tc>
        <w:tc>
          <w:tcPr>
            <w:tcW w:w="4660" w:type="dxa"/>
            <w:gridSpan w:val="6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района, Ермакова Наталья Алексеевна — зав. отделом по труду и торговле,  во взаимодействии с подразделениями, отвечающими за соответствующее направление,  во взаимодействии с  субъектами малого и среднего предпринимательства                                                                                                                             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Корнеева Светлана Александровна - Заместитель Главы администрации района, Ермакова Наталья Алексеевна — зав. отделом по труду и торговле,  во взаимодействии с подразделениями, отвечающими за соответствующее направление , во взаимодействии с  субъектами малого и среднего предпринимательства</w:t>
            </w:r>
          </w:p>
        </w:tc>
      </w:tr>
      <w:tr>
        <w:trPr>
          <w:trHeight w:val="383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25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Количество вновь созданных рабочих мест субъектами малого и среднего предпринимательства (включая вновь зарегистрированных индивидуальных предпринимателей), получившими государственную (муниципальную)   поддержку </w:t>
            </w:r>
          </w:p>
        </w:tc>
        <w:tc>
          <w:tcPr>
            <w:tcW w:w="118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единиц</w:t>
            </w:r>
          </w:p>
        </w:tc>
        <w:tc>
          <w:tcPr>
            <w:tcW w:w="8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90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77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69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69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развитие  предпринимательства, создание новых рабочих мест, увеличение поступлений в бюджет</w:t>
            </w:r>
          </w:p>
        </w:tc>
        <w:tc>
          <w:tcPr>
            <w:tcW w:w="4660" w:type="dxa"/>
            <w:gridSpan w:val="6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383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3.</w:t>
            </w:r>
          </w:p>
        </w:tc>
        <w:tc>
          <w:tcPr>
            <w:tcW w:w="25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Количество оказанных бесплатных консультационных услуг субъектам малого и среднего предпринимательства</w:t>
            </w:r>
          </w:p>
        </w:tc>
        <w:tc>
          <w:tcPr>
            <w:tcW w:w="118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единиц</w:t>
            </w:r>
          </w:p>
        </w:tc>
        <w:tc>
          <w:tcPr>
            <w:tcW w:w="8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14</w:t>
            </w:r>
          </w:p>
        </w:tc>
        <w:tc>
          <w:tcPr>
            <w:tcW w:w="90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12</w:t>
            </w:r>
          </w:p>
        </w:tc>
        <w:tc>
          <w:tcPr>
            <w:tcW w:w="77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12</w:t>
            </w:r>
          </w:p>
        </w:tc>
        <w:tc>
          <w:tcPr>
            <w:tcW w:w="69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12</w:t>
            </w:r>
          </w:p>
        </w:tc>
        <w:tc>
          <w:tcPr>
            <w:tcW w:w="69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12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Обеспечение субъектов предпринимательской деятельности информационной, консультационной поддержкой по вопросам ведения деятельности.</w:t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Корнеева Светлана Александровна - Заместитель Главы  района, Ермакова Наталья Алексеевна — зав. отделом по труду и торговле,   во взаимодействии с подразделениями, отвечающими за соответствующее направление , во взаимодействии с  субъектами малого и среднего предпринимательства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Мероприятия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375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Наименование мероприятия</w:t>
            </w:r>
          </w:p>
        </w:tc>
        <w:tc>
          <w:tcPr>
            <w:tcW w:w="3900" w:type="dxa"/>
            <w:gridSpan w:val="2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Срок реализации</w:t>
            </w:r>
          </w:p>
        </w:tc>
        <w:tc>
          <w:tcPr>
            <w:tcW w:w="7455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Исполнители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375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Оказание консультационной помощи по существующим формам финансово-имущественной поддержки субъектов малого и среднего предпринимательства</w:t>
            </w:r>
          </w:p>
        </w:tc>
        <w:tc>
          <w:tcPr>
            <w:tcW w:w="3900" w:type="dxa"/>
            <w:gridSpan w:val="2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pacing w:lineRule="auto" w:line="24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по всем поступившим запросам </w:t>
            </w:r>
          </w:p>
          <w:p>
            <w:pPr>
              <w:pStyle w:val="Default"/>
              <w:spacing w:lineRule="auto" w:line="24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7455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района, Ермакова Наталья Алексеевна — зав. отделом по труду и торговле,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3758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Содействие в проведении обучающих мероприятий, тренингов, семинаров для субъектов малого и среднего предпринимательства</w:t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3900" w:type="dxa"/>
            <w:gridSpan w:val="2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jc w:val="center"/>
              <w:rPr/>
            </w:pPr>
            <w:r>
              <w:rPr>
                <w:sz w:val="21"/>
                <w:szCs w:val="21"/>
              </w:rPr>
              <w:t>2018-2021 годы</w:t>
            </w:r>
          </w:p>
        </w:tc>
        <w:tc>
          <w:tcPr>
            <w:tcW w:w="7455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района,  Ермакова Наталья Алексеевна — зав. отделом по труду и торговле,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II.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Развитие инвестиционной деятельности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Целевые показатели</w:t>
            </w:r>
          </w:p>
        </w:tc>
      </w:tr>
      <w:tr>
        <w:trPr>
          <w:trHeight w:val="680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jc w:val="center"/>
              <w:rPr/>
            </w:pPr>
            <w:r>
              <w:rPr/>
            </w:r>
          </w:p>
        </w:tc>
        <w:tc>
          <w:tcPr>
            <w:tcW w:w="257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Наименование  показателя</w:t>
            </w:r>
          </w:p>
        </w:tc>
        <w:tc>
          <w:tcPr>
            <w:tcW w:w="1182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Ключевые показатели эффектив-ности (далее КПЭ)</w:t>
            </w:r>
          </w:p>
        </w:tc>
        <w:tc>
          <w:tcPr>
            <w:tcW w:w="835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2017 год</w:t>
            </w:r>
          </w:p>
        </w:tc>
        <w:tc>
          <w:tcPr>
            <w:tcW w:w="3065" w:type="dxa"/>
            <w:gridSpan w:val="1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Значение КПЭ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(целевые ориентиры)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Результат</w:t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Ответственные исполнители</w:t>
            </w:r>
          </w:p>
        </w:tc>
      </w:tr>
      <w:tr>
        <w:trPr>
          <w:trHeight w:val="332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257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1182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35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90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2018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77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2019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69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2020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69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2021 год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4660" w:type="dxa"/>
            <w:gridSpan w:val="6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150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25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18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8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90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77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69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69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</w:tr>
      <w:tr>
        <w:trPr>
          <w:trHeight w:val="383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25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Темп роста объема инвестиций в основной капитал (за исключением бюджетных средств) к предыдущему году</w:t>
            </w:r>
          </w:p>
        </w:tc>
        <w:tc>
          <w:tcPr>
            <w:tcW w:w="118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процент</w:t>
            </w:r>
          </w:p>
        </w:tc>
        <w:tc>
          <w:tcPr>
            <w:tcW w:w="8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rPr/>
            </w:pPr>
            <w:r>
              <w:rPr>
                <w:sz w:val="21"/>
                <w:szCs w:val="21"/>
              </w:rPr>
              <w:t>43,4</w:t>
            </w:r>
          </w:p>
          <w:p>
            <w:pPr>
              <w:pStyle w:val="Normal"/>
              <w:spacing w:before="0" w:after="20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90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rPr>
                <w:highlight w:val="white"/>
              </w:rPr>
            </w:pPr>
            <w:r>
              <w:rPr>
                <w:highlight w:val="white"/>
              </w:rPr>
              <w:t>153,7</w:t>
            </w:r>
          </w:p>
          <w:p>
            <w:pPr>
              <w:pStyle w:val="Normal"/>
              <w:spacing w:before="0" w:after="200"/>
              <w:rPr>
                <w:sz w:val="21"/>
                <w:szCs w:val="21"/>
                <w:highlight w:val="white"/>
              </w:rPr>
            </w:pPr>
            <w:r>
              <w:rPr>
                <w:sz w:val="21"/>
                <w:szCs w:val="21"/>
                <w:highlight w:val="white"/>
              </w:rPr>
            </w:r>
          </w:p>
        </w:tc>
        <w:tc>
          <w:tcPr>
            <w:tcW w:w="77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sz w:val="21"/>
                <w:szCs w:val="21"/>
                <w:highlight w:val="white"/>
              </w:rPr>
            </w:pPr>
            <w:r>
              <w:rPr>
                <w:sz w:val="21"/>
                <w:szCs w:val="21"/>
                <w:highlight w:val="white"/>
              </w:rPr>
              <w:t>106,7</w:t>
            </w:r>
          </w:p>
        </w:tc>
        <w:tc>
          <w:tcPr>
            <w:tcW w:w="699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sz w:val="21"/>
                <w:szCs w:val="21"/>
                <w:highlight w:val="white"/>
              </w:rPr>
            </w:pPr>
            <w:r>
              <w:rPr>
                <w:sz w:val="21"/>
                <w:szCs w:val="21"/>
                <w:highlight w:val="white"/>
              </w:rPr>
              <w:t>102,6</w:t>
            </w:r>
          </w:p>
        </w:tc>
        <w:tc>
          <w:tcPr>
            <w:tcW w:w="69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>
                <w:sz w:val="21"/>
                <w:szCs w:val="21"/>
                <w:highlight w:val="white"/>
              </w:rPr>
            </w:pPr>
            <w:r>
              <w:rPr>
                <w:sz w:val="21"/>
                <w:szCs w:val="21"/>
                <w:highlight w:val="white"/>
              </w:rPr>
              <w:t>103</w:t>
            </w:r>
          </w:p>
        </w:tc>
        <w:tc>
          <w:tcPr>
            <w:tcW w:w="27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Привлечение инвестиций, наращивание налогового потенциала</w:t>
            </w:r>
          </w:p>
        </w:tc>
        <w:tc>
          <w:tcPr>
            <w:tcW w:w="466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Мероприятия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5887" w:type="dxa"/>
            <w:gridSpan w:val="1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Наименование мероприятия</w:t>
            </w:r>
          </w:p>
        </w:tc>
        <w:tc>
          <w:tcPr>
            <w:tcW w:w="2931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Срок реализации</w:t>
            </w:r>
          </w:p>
        </w:tc>
        <w:tc>
          <w:tcPr>
            <w:tcW w:w="62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Исполнители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887" w:type="dxa"/>
            <w:gridSpan w:val="1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iCs/>
                <w:lang w:eastAsia="ru-RU"/>
              </w:rPr>
              <w:t>Разработка  документов стратегического планирования  по инвестиционной деятельности в муниципальном районе, в т.ч.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931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2018-2021 годы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62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bookmarkStart w:id="0" w:name="__DdeLink__29948_184304043"/>
            <w:r>
              <w:rPr>
                <w:rFonts w:ascii="Times New Roman" w:hAnsi="Times New Roman"/>
                <w:sz w:val="21"/>
                <w:szCs w:val="21"/>
              </w:rPr>
              <w:t>Корнеева Светлана Александровна</w:t>
            </w:r>
            <w:bookmarkEnd w:id="0"/>
            <w:r>
              <w:rPr>
                <w:rFonts w:ascii="Times New Roman" w:hAnsi="Times New Roman"/>
                <w:sz w:val="21"/>
                <w:szCs w:val="21"/>
              </w:rPr>
              <w:t xml:space="preserve">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</w:t>
            </w:r>
          </w:p>
        </w:tc>
        <w:tc>
          <w:tcPr>
            <w:tcW w:w="5887" w:type="dxa"/>
            <w:gridSpan w:val="1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 </w:t>
            </w:r>
            <w:r>
              <w:rPr>
                <w:rFonts w:ascii="Times New Roman" w:hAnsi="Times New Roman"/>
                <w:lang w:eastAsia="ru-RU"/>
              </w:rPr>
              <w:t xml:space="preserve">Актуализация Инвестиционной Стратегии  муниципального района </w:t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2931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 1 февраля</w:t>
            </w:r>
          </w:p>
        </w:tc>
        <w:tc>
          <w:tcPr>
            <w:tcW w:w="62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5887" w:type="dxa"/>
            <w:gridSpan w:val="1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Актуализация Плана  мероприятий по внедрению муниципального Стандарта инвестиционной деятельности на территории муниципального образования</w:t>
            </w:r>
          </w:p>
          <w:p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931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 1 октября</w:t>
            </w:r>
          </w:p>
        </w:tc>
        <w:tc>
          <w:tcPr>
            <w:tcW w:w="62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5887" w:type="dxa"/>
            <w:gridSpan w:val="1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Осуществление сопровождения инвестиционных проектов, реализуемых на территории муниципального района</w:t>
            </w:r>
          </w:p>
        </w:tc>
        <w:tc>
          <w:tcPr>
            <w:tcW w:w="2931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соответствии с действующим регламентом</w:t>
            </w:r>
          </w:p>
        </w:tc>
        <w:tc>
          <w:tcPr>
            <w:tcW w:w="62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5887" w:type="dxa"/>
            <w:gridSpan w:val="1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Разработка и реализация организационно-правовых мероприятий по предоставлению  мер поддержки  для реализации инвестиционных проектов на территории муниципального района</w:t>
            </w:r>
          </w:p>
          <w:p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31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2018-2021 годы</w:t>
            </w:r>
          </w:p>
        </w:tc>
        <w:tc>
          <w:tcPr>
            <w:tcW w:w="62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Шичкин Сергей Федорович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5887" w:type="dxa"/>
            <w:gridSpan w:val="1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Формирование и актуализация перечня потенциальных  инвестиционных проектов по социально значимым рынкам, утвержденных распоряжением  Правительства РМ от 29 февраля 2016 г. №109-Р, определение  возможности комплексного решения проблем  и задач </w:t>
            </w:r>
          </w:p>
          <w:p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931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ежегодно</w:t>
            </w:r>
          </w:p>
        </w:tc>
        <w:tc>
          <w:tcPr>
            <w:tcW w:w="62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5887" w:type="dxa"/>
            <w:gridSpan w:val="1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информационной поддержки инвестиционной деятельности по инвестиционным объектам, реализуемым и планируемым к реализации, объектам транспортной, инженерной, коммунальной и социальной инфраструктуры, инвестиционным площадкам, в т.ч.: </w:t>
            </w:r>
          </w:p>
          <w:p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публикация  информации в СМИ,</w:t>
            </w:r>
          </w:p>
          <w:p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 xml:space="preserve">на  официальном сайте администрации муниципального  образования  </w:t>
            </w:r>
          </w:p>
          <w:p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31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2018-2021 годы</w:t>
            </w:r>
          </w:p>
        </w:tc>
        <w:tc>
          <w:tcPr>
            <w:tcW w:w="6295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III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. Организационные   показатели и мероприятия, направленные  на развитие конкурентной среды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Целевые показатели</w:t>
            </w:r>
          </w:p>
        </w:tc>
      </w:tr>
      <w:tr>
        <w:trPr>
          <w:trHeight w:val="680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jc w:val="center"/>
              <w:rPr/>
            </w:pPr>
            <w:r>
              <w:rPr/>
            </w:r>
          </w:p>
        </w:tc>
        <w:tc>
          <w:tcPr>
            <w:tcW w:w="3152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Наименование  показателя</w:t>
            </w:r>
          </w:p>
        </w:tc>
        <w:tc>
          <w:tcPr>
            <w:tcW w:w="1367" w:type="dxa"/>
            <w:gridSpan w:val="4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Ключевые показатели эффектив-ности (далее КПЭ)</w:t>
            </w:r>
          </w:p>
        </w:tc>
        <w:tc>
          <w:tcPr>
            <w:tcW w:w="948" w:type="dxa"/>
            <w:gridSpan w:val="5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2017 год</w:t>
            </w:r>
          </w:p>
        </w:tc>
        <w:tc>
          <w:tcPr>
            <w:tcW w:w="3241" w:type="dxa"/>
            <w:gridSpan w:val="1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Значение КПЭ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(целевые ориентиры)</w:t>
            </w:r>
          </w:p>
        </w:tc>
        <w:tc>
          <w:tcPr>
            <w:tcW w:w="2644" w:type="dxa"/>
            <w:gridSpan w:val="8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Результат</w:t>
            </w:r>
          </w:p>
        </w:tc>
        <w:tc>
          <w:tcPr>
            <w:tcW w:w="3761" w:type="dxa"/>
            <w:gridSpan w:val="5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Ответственные исполнители</w:t>
            </w:r>
          </w:p>
        </w:tc>
      </w:tr>
      <w:tr>
        <w:trPr>
          <w:trHeight w:val="332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3152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1367" w:type="dxa"/>
            <w:gridSpan w:val="4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948" w:type="dxa"/>
            <w:gridSpan w:val="5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31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2018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79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2019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77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2020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4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2021 год</w:t>
            </w:r>
          </w:p>
        </w:tc>
        <w:tc>
          <w:tcPr>
            <w:tcW w:w="2644" w:type="dxa"/>
            <w:gridSpan w:val="8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3759" w:type="dxa"/>
            <w:gridSpan w:val="4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150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315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36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94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831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79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77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84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2644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375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</w:tr>
      <w:tr>
        <w:trPr>
          <w:trHeight w:val="383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315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Доля выполненных мероприятий, обеспечивающих достижение установленных результатов, предусмотренных Планом мероприятий (дорожной картой) по содействию развитию конкуренции на территории Торбеевского муниципального района</w:t>
            </w:r>
          </w:p>
        </w:tc>
        <w:tc>
          <w:tcPr>
            <w:tcW w:w="136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процент</w:t>
            </w:r>
          </w:p>
        </w:tc>
        <w:tc>
          <w:tcPr>
            <w:tcW w:w="94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86</w:t>
            </w:r>
          </w:p>
        </w:tc>
        <w:tc>
          <w:tcPr>
            <w:tcW w:w="831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86</w:t>
            </w:r>
          </w:p>
        </w:tc>
        <w:tc>
          <w:tcPr>
            <w:tcW w:w="79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88</w:t>
            </w:r>
          </w:p>
        </w:tc>
        <w:tc>
          <w:tcPr>
            <w:tcW w:w="77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90</w:t>
            </w:r>
          </w:p>
        </w:tc>
        <w:tc>
          <w:tcPr>
            <w:tcW w:w="84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90</w:t>
            </w:r>
          </w:p>
        </w:tc>
        <w:tc>
          <w:tcPr>
            <w:tcW w:w="2644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Достижение эффективности стратегических и программных документов</w:t>
            </w:r>
            <w:r>
              <w:rPr/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>в сфере развития конкуренции</w:t>
            </w:r>
          </w:p>
        </w:tc>
        <w:tc>
          <w:tcPr>
            <w:tcW w:w="375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>
          <w:trHeight w:val="383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315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1"/>
                <w:szCs w:val="21"/>
                <w:highlight w:val="yellow"/>
              </w:rPr>
            </w:pPr>
            <w:r>
              <w:rPr>
                <w:rFonts w:ascii="Times New Roman" w:hAnsi="Times New Roman"/>
                <w:sz w:val="21"/>
                <w:szCs w:val="21"/>
                <w:highlight w:val="white"/>
              </w:rPr>
              <w:t>Уровень удовлетворенности потребителей качеством официальной информации (понятность изложения, удобство получения и доступность) о состоянии конкурентной среды на рынках товаров и услуг, размещаемой муниципальными образованиями</w:t>
            </w:r>
          </w:p>
          <w:p>
            <w:pPr>
              <w:pStyle w:val="Normal"/>
              <w:spacing w:lineRule="auto" w:line="240" w:before="0" w:after="0"/>
              <w:rPr>
                <w:color w:val="FF0000"/>
                <w:highlight w:val="yellow"/>
              </w:rPr>
            </w:pPr>
            <w:r>
              <w:rPr>
                <w:color w:val="FF0000"/>
                <w:highlight w:val="yellow"/>
              </w:rPr>
            </w:r>
          </w:p>
        </w:tc>
        <w:tc>
          <w:tcPr>
            <w:tcW w:w="136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highlight w:val="yellow"/>
              </w:rPr>
            </w:pPr>
            <w:r>
              <w:rPr>
                <w:rFonts w:ascii="Times New Roman" w:hAnsi="Times New Roman"/>
                <w:sz w:val="21"/>
                <w:szCs w:val="21"/>
                <w:highlight w:val="white"/>
              </w:rPr>
              <w:t>процент</w:t>
            </w:r>
          </w:p>
        </w:tc>
        <w:tc>
          <w:tcPr>
            <w:tcW w:w="94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highlight w:val="white"/>
              </w:rPr>
            </w:pPr>
            <w:r>
              <w:rPr>
                <w:highlight w:val="white"/>
              </w:rPr>
              <w:t>83,7</w:t>
            </w:r>
          </w:p>
        </w:tc>
        <w:tc>
          <w:tcPr>
            <w:tcW w:w="831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84</w:t>
            </w:r>
          </w:p>
        </w:tc>
        <w:tc>
          <w:tcPr>
            <w:tcW w:w="79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84</w:t>
            </w:r>
          </w:p>
        </w:tc>
        <w:tc>
          <w:tcPr>
            <w:tcW w:w="770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85</w:t>
            </w:r>
          </w:p>
        </w:tc>
        <w:tc>
          <w:tcPr>
            <w:tcW w:w="84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85</w:t>
            </w:r>
          </w:p>
        </w:tc>
        <w:tc>
          <w:tcPr>
            <w:tcW w:w="2644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rPr/>
            </w:pPr>
            <w:r>
              <w:rPr>
                <w:rFonts w:ascii="Times New Roman" w:hAnsi="Times New Roman"/>
              </w:rPr>
              <w:t>соблюдение стандарта оказания услуг</w:t>
            </w:r>
          </w:p>
        </w:tc>
        <w:tc>
          <w:tcPr>
            <w:tcW w:w="375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–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Мероприятия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657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Наименование мероприятия</w:t>
            </w:r>
          </w:p>
        </w:tc>
        <w:tc>
          <w:tcPr>
            <w:tcW w:w="3000" w:type="dxa"/>
            <w:gridSpan w:val="1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Срок реализации</w:t>
            </w:r>
          </w:p>
        </w:tc>
        <w:tc>
          <w:tcPr>
            <w:tcW w:w="7456" w:type="dxa"/>
            <w:gridSpan w:val="1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Исполнители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4657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Актуализация Плана мероприятий («дорожной карты») Торбеевского муниципального района по содействию развитию конкуренции в Республике Мордовия</w:t>
            </w:r>
          </w:p>
        </w:tc>
        <w:tc>
          <w:tcPr>
            <w:tcW w:w="3000" w:type="dxa"/>
            <w:gridSpan w:val="1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ежегодно</w:t>
            </w:r>
          </w:p>
        </w:tc>
        <w:tc>
          <w:tcPr>
            <w:tcW w:w="7456" w:type="dxa"/>
            <w:gridSpan w:val="1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– Заместитель Главы  района, Ермакова Наталья Алексеевна — зав. Отделом по труду и торговле,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4657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Формирование отчета о выполнении Плана мероприятий («дорожной карты») Торбеевского муниципального района по содействию развитию конкуренции в Республике Мордовия  за 4 квартал 2016 года до 25.01.2017 г., далее 1 раз в полугодие</w:t>
            </w:r>
          </w:p>
        </w:tc>
        <w:tc>
          <w:tcPr>
            <w:tcW w:w="3000" w:type="dxa"/>
            <w:gridSpan w:val="1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ежегодно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до 1 июля и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до 25 января года, следующего за отчетным</w:t>
            </w:r>
          </w:p>
        </w:tc>
        <w:tc>
          <w:tcPr>
            <w:tcW w:w="7456" w:type="dxa"/>
            <w:gridSpan w:val="1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– Заместитель Главы  района,  Ермакова Наталья Алексеевна — зав. Отделом по труду и торговле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3.</w:t>
            </w:r>
          </w:p>
        </w:tc>
        <w:tc>
          <w:tcPr>
            <w:tcW w:w="4657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Размещение информации о деятельности по содействию развитию конкуренции  на официальном сайте  Администрации района</w:t>
            </w:r>
          </w:p>
        </w:tc>
        <w:tc>
          <w:tcPr>
            <w:tcW w:w="3000" w:type="dxa"/>
            <w:gridSpan w:val="1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2018-2021</w:t>
            </w:r>
          </w:p>
        </w:tc>
        <w:tc>
          <w:tcPr>
            <w:tcW w:w="7456" w:type="dxa"/>
            <w:gridSpan w:val="1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– Заместитель Главы  района, Журкин Артем Анатольевич зав. Отделом информатизации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4.</w:t>
            </w:r>
          </w:p>
        </w:tc>
        <w:tc>
          <w:tcPr>
            <w:tcW w:w="4657" w:type="dxa"/>
            <w:gridSpan w:val="9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Содействие в проведении мониторинга удовлетворенности потребителей качеством официальной информации о состоянии конкурентной среды на рынках товаров и услуг и деятельности по содействию развитию конкренции, размещаемой муниципальными образованиями</w:t>
            </w:r>
          </w:p>
        </w:tc>
        <w:tc>
          <w:tcPr>
            <w:tcW w:w="3000" w:type="dxa"/>
            <w:gridSpan w:val="15"/>
            <w:tcBorders>
              <w:top w:val="single" w:sz="4" w:space="0" w:color="00000A"/>
              <w:left w:val="single" w:sz="4" w:space="0" w:color="000001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ежегодно</w:t>
            </w:r>
          </w:p>
        </w:tc>
        <w:tc>
          <w:tcPr>
            <w:tcW w:w="7456" w:type="dxa"/>
            <w:gridSpan w:val="18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– Заместитель Главы  района. Ермакова Наталья Алексеевна — зав. Отделом по труду и торговле  во взаимодействии с подразделениями, отвечающими за соответствующее направление </w:t>
            </w:r>
          </w:p>
        </w:tc>
      </w:tr>
      <w:tr>
        <w:trPr>
          <w:trHeight w:val="1660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5.</w:t>
            </w:r>
          </w:p>
        </w:tc>
        <w:tc>
          <w:tcPr>
            <w:tcW w:w="4657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Формирование отчета о выполнении мероприятий и показателей (по которым органы местного самоуправления являются соисполнителями) республиканского Плана мероприятий («дорожной карты») по содействию развитию конкуренции в Республике Мордовия</w:t>
            </w:r>
          </w:p>
        </w:tc>
        <w:tc>
          <w:tcPr>
            <w:tcW w:w="3000" w:type="dxa"/>
            <w:gridSpan w:val="1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ежегодно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до 25 января года, следующего за отчетным</w:t>
            </w:r>
          </w:p>
        </w:tc>
        <w:tc>
          <w:tcPr>
            <w:tcW w:w="7456" w:type="dxa"/>
            <w:gridSpan w:val="1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Корнеева Светлана Александровна – Заместитель Главы  района. Ермакова Наталья Алексеевна — зав. Отделом по труду и торговле  во взаимодействии с подразделениями, отвечающими за соответствующее направление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</w:tc>
        <w:tc>
          <w:tcPr>
            <w:tcW w:w="15113" w:type="dxa"/>
            <w:gridSpan w:val="4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ind w:left="5328" w:firstLine="336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ind w:left="5328" w:firstLine="336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IV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. Социально значимые рынки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5664" w:type="dxa"/>
            <w:gridSpan w:val="4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Рынок услуг  дошкольного образования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Целевые показатели</w:t>
            </w:r>
          </w:p>
        </w:tc>
      </w:tr>
      <w:tr>
        <w:trPr>
          <w:trHeight w:val="680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jc w:val="center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Наименование  показателя</w:t>
            </w:r>
          </w:p>
        </w:tc>
        <w:tc>
          <w:tcPr>
            <w:tcW w:w="1354" w:type="dxa"/>
            <w:gridSpan w:val="5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Ключевые показатели эффектив-ности (далее КПЭ)</w:t>
            </w:r>
          </w:p>
        </w:tc>
        <w:tc>
          <w:tcPr>
            <w:tcW w:w="804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2017 год</w:t>
            </w:r>
          </w:p>
        </w:tc>
        <w:tc>
          <w:tcPr>
            <w:tcW w:w="3514" w:type="dxa"/>
            <w:gridSpan w:val="2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Значение КПЭ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(целевые ориентиры)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Результат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Ответственные исполнители</w:t>
            </w:r>
          </w:p>
        </w:tc>
      </w:tr>
      <w:tr>
        <w:trPr>
          <w:trHeight w:val="332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1354" w:type="dxa"/>
            <w:gridSpan w:val="5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04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2018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2019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2020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2021 год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173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rPr/>
            </w:pPr>
            <w:r>
              <w:rPr>
                <w:sz w:val="21"/>
                <w:szCs w:val="21"/>
              </w:rPr>
              <w:t>Численность детей дошкольного возраста, проживающих на территории муниципального района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человек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1348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1350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1370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1370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1380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pacing w:lineRule="auto" w:line="240"/>
              <w:jc w:val="both"/>
              <w:rPr/>
            </w:pPr>
            <w:r>
              <w:rPr>
                <w:sz w:val="21"/>
                <w:szCs w:val="21"/>
              </w:rPr>
              <w:t xml:space="preserve">создание условий для развития конкуренции на рынке услуг дошкольного образования, развитие сектора частных дошкольных образовательных организаций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района, Половникова Елена Ивановна — начальник управления по работе с учреждениями образования, 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rPr/>
            </w:pPr>
            <w:r>
              <w:rPr>
                <w:sz w:val="21"/>
                <w:szCs w:val="21"/>
              </w:rPr>
              <w:t>Численность детей, родители которых готовы воспользоваться услугами частных дошкольных образовательных организаций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человек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60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65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70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70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80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napToGrid w:val="false"/>
              <w:jc w:val="both"/>
              <w:rPr/>
            </w:pPr>
            <w:r>
              <w:rPr>
                <w:sz w:val="21"/>
                <w:szCs w:val="21"/>
              </w:rPr>
              <w:t xml:space="preserve">создание условий для развития конкуренции на рынке услуг дошкольного образования, развитие сектора частных дошкольных образовательных организаций 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района, Половникова Елена Ивановна — начальник управления по работе с учреждениями образования,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napToGrid w:val="false"/>
              <w:rPr/>
            </w:pPr>
            <w:r>
              <w:rPr/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napToGrid w:val="false"/>
              <w:jc w:val="both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Мероприятия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Наименование мероприятия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Срок реализации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Исполнители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1</w:t>
            </w:r>
            <w:r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Создание условий для развития конкуренции на рынке услуг дошкольного образования, в т.ч. развитие сектора частных дошкольных образовательных организаций и оказание им организационно-методической и информационно-консультативной поддержки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2018-2021 годы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района, Половникова Елена Ивановна — начальник управления по работе с учреждениями образования,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Содействие в проведении мониторинга состояния конкурентной среды на рынке услуг дошкольного образования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ежегодно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района, Половникова Елена Ивановна — начальник управления по работе с учреждениями образования,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5664" w:type="dxa"/>
            <w:gridSpan w:val="4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Рынок услуг детского отдыха и оздоровления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Целевые показатели</w:t>
            </w:r>
          </w:p>
        </w:tc>
      </w:tr>
      <w:tr>
        <w:trPr>
          <w:trHeight w:val="680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jc w:val="center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Наименование  показателя</w:t>
            </w:r>
          </w:p>
        </w:tc>
        <w:tc>
          <w:tcPr>
            <w:tcW w:w="1354" w:type="dxa"/>
            <w:gridSpan w:val="5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Ключевые показатели эффектив-ности (далее КПЭ)</w:t>
            </w:r>
          </w:p>
        </w:tc>
        <w:tc>
          <w:tcPr>
            <w:tcW w:w="804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2017 год</w:t>
            </w:r>
          </w:p>
        </w:tc>
        <w:tc>
          <w:tcPr>
            <w:tcW w:w="3514" w:type="dxa"/>
            <w:gridSpan w:val="2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Значение КПЭ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(целевые ориентиры)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Результат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Ответственные исполнители</w:t>
            </w:r>
          </w:p>
        </w:tc>
      </w:tr>
      <w:tr>
        <w:trPr>
          <w:trHeight w:val="332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1354" w:type="dxa"/>
            <w:gridSpan w:val="5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04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2018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2019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2020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2021 год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217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</w:tr>
      <w:tr>
        <w:trPr>
          <w:trHeight w:val="383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Численность детей в возрасте от 7 до 17 лет, отдохнувших в  организациях отдыха детей и их оздоровления соответствующего типа стационарный загородный лагерь (приоритет), лагерь с дневным пребыванием, палаточный лагерь, стационарно-оздоровительный лагерь труда и отдыха) , в общей численности детей  этой категории, проживающих на территории муниципального района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человек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498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500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500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500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500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создание условий для развития конкуренции на рынке услуг отдыха и оздоровления детей развитие сектора немуниципальных организаций отдыха и оздоровления детей 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района, Половникова Елена Ивановна — начальник управления по работе с учреждениями образования,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Мероприятия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Наименование мероприятия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Срок реализации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Исполнители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Создание условий для развития конкуренции на рынке услуг отдыха и оздоровления детей, в т.ч.: развитие сектора немуниципальных организаций отдыха и оздоровления детей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2018-2021 годы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района, Половникова Елена Ивановна — начальник управления по работе с учреждениями образования,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Содействие в проведении мониторинга состояния конкурентной среды на рынке услуг детского отдыха и оздоровления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2018-2021 годы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района, Половникова Елена Ивановна — начальник управления по работе с учреждениями образования,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Улучшение материально-технической базы загородных оздоровительных лагерей, а также создание новых зон досуга и отдыха, в т.ч. за счет использования моделей муниципально-частного партнерства, развитие видового разнообразия услуг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2018-2021 годы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района, Половникова Елена Ивановна — начальник управления по работе с учреждениями образования,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5664" w:type="dxa"/>
            <w:gridSpan w:val="4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Рынок услуг  дополнительного образования детей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Целевые показатели</w:t>
            </w:r>
          </w:p>
        </w:tc>
      </w:tr>
      <w:tr>
        <w:trPr>
          <w:trHeight w:val="680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jc w:val="center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Наименование  показателя</w:t>
            </w:r>
          </w:p>
        </w:tc>
        <w:tc>
          <w:tcPr>
            <w:tcW w:w="1354" w:type="dxa"/>
            <w:gridSpan w:val="5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Ключевые показатели эффектив-ности (далее КПЭ)</w:t>
            </w:r>
          </w:p>
        </w:tc>
        <w:tc>
          <w:tcPr>
            <w:tcW w:w="804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2017 год</w:t>
            </w:r>
          </w:p>
        </w:tc>
        <w:tc>
          <w:tcPr>
            <w:tcW w:w="3514" w:type="dxa"/>
            <w:gridSpan w:val="2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Значение КПЭ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(целевые ориентиры)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Результат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Ответственные исполнители</w:t>
            </w:r>
          </w:p>
        </w:tc>
      </w:tr>
      <w:tr>
        <w:trPr>
          <w:trHeight w:val="332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1354" w:type="dxa"/>
            <w:gridSpan w:val="5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04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2018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2019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2020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2021 год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283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rPr/>
            </w:pPr>
            <w:r>
              <w:rPr>
                <w:sz w:val="21"/>
                <w:szCs w:val="21"/>
              </w:rPr>
              <w:t>Численность детей и молодежи в возрасте от 5 до 18 лет, проживающих на территории муниципального района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человек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2672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2680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2680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2680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2690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создание условий для развития конкуренции на рынке услуг дополнительного образования детей развитие частных организаций, осуществляющих образовательную деятельность по дополнительным общеобразова-тельным программам 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района, Половникова Елена Ивановна — начальник управления по работе с учреждениями образования,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rPr/>
            </w:pPr>
            <w:r>
              <w:rPr>
                <w:sz w:val="21"/>
                <w:szCs w:val="21"/>
              </w:rPr>
              <w:t xml:space="preserve">Численность детей и молодежи в возрасте от 5 до 18 лет, проживающих на территории муниципального района, получающих образовательные услуги в сфере дополнительного образования по дополнительным общеобразовательным программам 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человек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1755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1760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1760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1760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1770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создание условий для развития конкуренции на рынке услуг дополнительного образования детей развитие частных организаций, осуществляющих образовательную деятельность по дополнительным общеобразова-тельным программам 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Киреев Николай Николаевич - Заместитель Главы  района, Половникова Елена Ивановна — начальник управления по работе с учреждениями образования,  во взаимодействии с подразделениями, отвечающими за соответствующее направление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Мероприятия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Наименование мероприятия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Срок реализации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Исполнители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Создание условий для развития конкуренции на рынке услуг дополнительного образования детей, в т.ч. развитие частных организаций, осуществляющих образовательную деятельность по дополнительным общеобразовательным программам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2018-2021 годы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района, Половникова Елена Ивановна — начальник управления по работе с учреждениями образования,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Содействие в проведение мониторинга состояния конкурентной среды на рынке услуг дополнительного образования детей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ежегодно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района, Половникова Елена Ивановна — начальник управления по работе с учреждениями образования,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5664" w:type="dxa"/>
            <w:gridSpan w:val="4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Рынок услуг  психолого-педагогического сопровождения детей с ограниченными возможностями здоровья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Целевые показатели</w:t>
            </w:r>
          </w:p>
        </w:tc>
      </w:tr>
      <w:tr>
        <w:trPr>
          <w:trHeight w:val="680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jc w:val="center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Наименование  показателя</w:t>
            </w:r>
          </w:p>
        </w:tc>
        <w:tc>
          <w:tcPr>
            <w:tcW w:w="1354" w:type="dxa"/>
            <w:gridSpan w:val="5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Ключевые показатели эффектив-ности (далее КПЭ)</w:t>
            </w:r>
          </w:p>
        </w:tc>
        <w:tc>
          <w:tcPr>
            <w:tcW w:w="804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2017 год</w:t>
            </w:r>
          </w:p>
        </w:tc>
        <w:tc>
          <w:tcPr>
            <w:tcW w:w="3514" w:type="dxa"/>
            <w:gridSpan w:val="2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Значение КПЭ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(целевые ориентиры)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Результат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Ответственные исполнители</w:t>
            </w:r>
          </w:p>
        </w:tc>
      </w:tr>
      <w:tr>
        <w:trPr>
          <w:trHeight w:val="332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1354" w:type="dxa"/>
            <w:gridSpan w:val="5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04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2018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2019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2020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2021 год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287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rPr/>
            </w:pPr>
            <w:r>
              <w:rPr>
                <w:sz w:val="21"/>
                <w:szCs w:val="21"/>
              </w:rPr>
              <w:t>Численность детей-инвалидов, проживающих на территории района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человек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62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60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60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60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60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развитие сектора немуници-пальных организаций, оказывающих услуги ранней диагностики, социализации и реабилитации детей с ограниченными возможностями здоровья 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района, Главный врач ГБУЗ «Торбеевская межрайонная больница» (по согласованию) 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rPr/>
            </w:pPr>
            <w:r>
              <w:rPr>
                <w:sz w:val="21"/>
                <w:szCs w:val="21"/>
              </w:rPr>
              <w:t>Численность детей-инвалидов проходящих курсы реабилитации за пределами муниципального района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человек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31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30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30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30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30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развитие сектора немуници-пальных организаций, оказывающих услуги ранней диагностики, социализации и реабилитации детей с ограниченными возможностями здоровья 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района, Главный врач ГБУЗ «Торбеевская межрайонная больница» (по согласованию) 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Мероприятия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Наименование мероприятия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Срок реализации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Исполнители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Развитие и поддержка сети учреждений и организаций, работающих с детьми–инвалидами, нуждающимися в дистанционном обучении на дому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2018-2021 годы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jc w:val="both"/>
              <w:rPr/>
            </w:pPr>
            <w:r>
              <w:rPr>
                <w:sz w:val="21"/>
                <w:szCs w:val="21"/>
              </w:rPr>
              <w:t xml:space="preserve">Развитие социального партнерства с учреждениями здравоохранения по вопросам помощи семье, организации работы с детьми, охваченными организационными формами образования, профилактики и коррекции здоровья детей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2018-2021 годы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Содействие в проведении мониторинга состояния конкурентной среды на рынке услуг психолого-педагогического сопровождения детей с ограниченными возможностями здоровья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ежегодно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5664" w:type="dxa"/>
            <w:gridSpan w:val="4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1"/>
                <w:szCs w:val="21"/>
                <w:highlight w:val="yellow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highlight w:val="yellow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 xml:space="preserve">Рынок  медицинских услуг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Целевые показатели</w:t>
            </w:r>
          </w:p>
        </w:tc>
      </w:tr>
      <w:tr>
        <w:trPr>
          <w:trHeight w:val="680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jc w:val="center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Наименование  показателя</w:t>
            </w:r>
          </w:p>
        </w:tc>
        <w:tc>
          <w:tcPr>
            <w:tcW w:w="1354" w:type="dxa"/>
            <w:gridSpan w:val="5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Ключевые показатели эффектив-ности (далее КПЭ)</w:t>
            </w:r>
          </w:p>
        </w:tc>
        <w:tc>
          <w:tcPr>
            <w:tcW w:w="804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2017 год</w:t>
            </w:r>
          </w:p>
        </w:tc>
        <w:tc>
          <w:tcPr>
            <w:tcW w:w="3514" w:type="dxa"/>
            <w:gridSpan w:val="2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Значение КПЭ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(целевые ориентиры)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Результат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Ответственные исполнители</w:t>
            </w:r>
          </w:p>
        </w:tc>
      </w:tr>
      <w:tr>
        <w:trPr>
          <w:trHeight w:val="332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1354" w:type="dxa"/>
            <w:gridSpan w:val="5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04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2018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2019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2020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2021 год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283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rPr/>
            </w:pPr>
            <w:r>
              <w:rPr>
                <w:sz w:val="21"/>
                <w:szCs w:val="21"/>
              </w:rPr>
              <w:t xml:space="preserve">Доля негосударственных аптечных организаций, осуществляющих розничную торговлю фармацевтической продукцией, в общем количестве аптечных организаций, осуществляющих розничную торговлю в муниципальном районе 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процент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83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83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83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83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83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сокращение присутствия государства на рынке розничной торговли фармацевтической продукцией до необходимого для обеспечения законодательства в области контроля за распространением наркотических веществ минимума 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района, Ермакова Наталья Алексеевна — зав. отделом по труду и торговле,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Мероприятия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Наименование мероприятия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Срок реализации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Исполнители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Создание условий для развития конкуренции на рынке медицинских услуг, в т.ч. для негосударственных медицинских организаций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2018-2021 годы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Содействие в проведении мониторинга состояния конкурентной среды на рынке медицинских услуг</w:t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ежегодно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района, Ермакова Наталья Алексеевна — зав. отделом по труду и торговле,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5664" w:type="dxa"/>
            <w:gridSpan w:val="4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Рынок услуг  сферы культуры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Целевые показатели</w:t>
            </w:r>
          </w:p>
        </w:tc>
      </w:tr>
      <w:tr>
        <w:trPr>
          <w:trHeight w:val="680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jc w:val="center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Наименование  показателя</w:t>
            </w:r>
          </w:p>
        </w:tc>
        <w:tc>
          <w:tcPr>
            <w:tcW w:w="1354" w:type="dxa"/>
            <w:gridSpan w:val="5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Ключевые показатели эффектив-ности (далее КПЭ)</w:t>
            </w:r>
          </w:p>
        </w:tc>
        <w:tc>
          <w:tcPr>
            <w:tcW w:w="804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2017 год</w:t>
            </w:r>
          </w:p>
        </w:tc>
        <w:tc>
          <w:tcPr>
            <w:tcW w:w="3514" w:type="dxa"/>
            <w:gridSpan w:val="2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Значение КПЭ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(целевые ориентиры)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Результат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Ответственные исполнители</w:t>
            </w:r>
          </w:p>
        </w:tc>
      </w:tr>
      <w:tr>
        <w:trPr>
          <w:trHeight w:val="332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1354" w:type="dxa"/>
            <w:gridSpan w:val="5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04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2018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2019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2020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2021 год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187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Доля  культурно-массовых мероприятий проведенных в районе с участием немуниципальных организаций, осуществляющих свою деятельность в сфере культуры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процент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14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15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16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16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16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pacing w:lineRule="auto" w:line="276" w:before="0" w:after="200"/>
              <w:jc w:val="both"/>
              <w:rPr/>
            </w:pPr>
            <w:r>
              <w:rPr>
                <w:sz w:val="21"/>
                <w:szCs w:val="21"/>
              </w:rPr>
              <w:t xml:space="preserve">развитие сектора немуниципальных организаций в сфере культуры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района, Дашкина Ольга Николаевна — зам. начальника управления по социальной работе, зав. отделом по культуре,  во взаимодействии с подразделениями, отвечающими за соответствующее направление 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Мероприятия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Наименование мероприятия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Срок реализации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Исполнители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1</w:t>
            </w:r>
            <w:r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Развитие  и расширение новых и традиционных видов услуг культуры, оказываемых учреждениями культуры всех форм собственности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2018-2021 годы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района, Дашкина Ольга Николаевна — зам. начальника управления по социальной работе, зав. отделом по культуре,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Содействие в проведении мониторинга состояния конкурентной среды в сфере культуры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ежегодно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района, Дашкина Ольга Николаевна — зам. начальника управления по социальной работе, зав. отделом по культуре,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5664" w:type="dxa"/>
            <w:gridSpan w:val="4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Рынок услуг  жилищно-коммунального хозяйства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Целевые показатели</w:t>
            </w:r>
          </w:p>
        </w:tc>
      </w:tr>
      <w:tr>
        <w:trPr>
          <w:trHeight w:val="680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jc w:val="center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Наименование  показателя</w:t>
            </w:r>
          </w:p>
        </w:tc>
        <w:tc>
          <w:tcPr>
            <w:tcW w:w="1354" w:type="dxa"/>
            <w:gridSpan w:val="5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Ключевые показатели эффектив-ности (далее КПЭ)</w:t>
            </w:r>
          </w:p>
        </w:tc>
        <w:tc>
          <w:tcPr>
            <w:tcW w:w="804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2017 год</w:t>
            </w:r>
          </w:p>
        </w:tc>
        <w:tc>
          <w:tcPr>
            <w:tcW w:w="3514" w:type="dxa"/>
            <w:gridSpan w:val="2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Значение КПЭ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(целевые ориентиры)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Результат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Ответственные исполнители</w:t>
            </w:r>
          </w:p>
        </w:tc>
      </w:tr>
      <w:tr>
        <w:trPr>
          <w:trHeight w:val="332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1354" w:type="dxa"/>
            <w:gridSpan w:val="5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04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2018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2019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2020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2021 год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248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</w:tr>
      <w:tr>
        <w:trPr>
          <w:trHeight w:val="383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Удовлетворенность населения уровнем организации теплоснабжения на территории района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процент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89,7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90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90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90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91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  <w:highlight w:val="white"/>
              </w:rPr>
              <w:t xml:space="preserve">передача в управление частным операторам на основе концессионных соглашений объектов жилищно-коммунального хозяйства всех муниципальных предприятий, осуществляющих неэффективное управление 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bookmarkStart w:id="1" w:name="__DdeLink__21789_184304043"/>
            <w:r>
              <w:rPr>
                <w:rFonts w:ascii="Times New Roman" w:hAnsi="Times New Roman"/>
                <w:sz w:val="21"/>
                <w:szCs w:val="21"/>
              </w:rPr>
              <w:t>Шичкин Сергей Федорович</w:t>
            </w:r>
            <w:bookmarkEnd w:id="1"/>
            <w:r>
              <w:rPr>
                <w:rFonts w:ascii="Times New Roman" w:hAnsi="Times New Roman"/>
                <w:sz w:val="21"/>
                <w:szCs w:val="21"/>
              </w:rPr>
              <w:t xml:space="preserve">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>
          <w:trHeight w:val="383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Удовлетворенность населения уровнем организации водоснабжения на территории района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процент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80,8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81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81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81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82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  <w:highlight w:val="white"/>
              </w:rPr>
              <w:t xml:space="preserve">передача в управление частным операторам на основе концессионных соглашений объектов жилищно-коммунального хозяйства всех муниципальных предприятий, осуществляющих неэффективное управление 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Шичкин Сергей Федорович- Заместитель Главы  района  во взаимодействии с подразделениями, отвечающими за соответствующее направление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Мероприятия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Наименование мероприятия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Срок реализации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Исполнители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1</w:t>
            </w:r>
            <w:r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Создание условий для развития конкуренции на рынке услуг жилищно-коммунального хозяйства за счет  передачи объектов в управление частным операторам на основе концессионных соглашений, повышения качества оказания услуг, обеспечения информационной открытости отрасли и повышения эффективности контроля за соблюдением жилищного законодательства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2018-2021 годы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Шичкин Сергей Федорович- Заместитель Главы  района  во взаимодействии с подразделениями, отвечающими за соответствующее направление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jc w:val="both"/>
              <w:rPr/>
            </w:pPr>
            <w:r>
              <w:rPr>
                <w:sz w:val="21"/>
                <w:szCs w:val="21"/>
              </w:rPr>
              <w:t xml:space="preserve">Содействие в  проведении мониторинга состояния конкурентной среды в сфере жилищно-коммунального хозяйства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ежегодно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Шичкин Сергей Федорович- Заместитель Главы  района  во взаимодействии с подразделениями, отвечающими за соответствующее направление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5664" w:type="dxa"/>
            <w:gridSpan w:val="4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Розничная торговля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Целевые показатели</w:t>
            </w:r>
          </w:p>
        </w:tc>
      </w:tr>
      <w:tr>
        <w:trPr>
          <w:trHeight w:val="680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jc w:val="center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Наименование  показателя</w:t>
            </w:r>
          </w:p>
        </w:tc>
        <w:tc>
          <w:tcPr>
            <w:tcW w:w="1354" w:type="dxa"/>
            <w:gridSpan w:val="5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Ключевые показатели эффектив-ности (далее КПЭ)</w:t>
            </w:r>
          </w:p>
        </w:tc>
        <w:tc>
          <w:tcPr>
            <w:tcW w:w="804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2017 год</w:t>
            </w:r>
          </w:p>
        </w:tc>
        <w:tc>
          <w:tcPr>
            <w:tcW w:w="3514" w:type="dxa"/>
            <w:gridSpan w:val="2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Значение КПЭ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(целевые ориентиры)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Результат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Ответственные исполнители</w:t>
            </w:r>
          </w:p>
        </w:tc>
      </w:tr>
      <w:tr>
        <w:trPr>
          <w:trHeight w:val="332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1354" w:type="dxa"/>
            <w:gridSpan w:val="5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04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2018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2019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2020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2021 год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180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</w:tr>
      <w:tr>
        <w:trPr>
          <w:trHeight w:val="383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jc w:val="both"/>
              <w:rPr/>
            </w:pPr>
            <w:r>
              <w:rPr>
                <w:sz w:val="21"/>
                <w:szCs w:val="21"/>
              </w:rPr>
              <w:t xml:space="preserve">Среднее число участников  проведенных ярмарок по продаже продовольственных товаров и сельскохозяйственной продукции в соответствии с графиком </w:t>
            </w:r>
          </w:p>
          <w:p>
            <w:pPr>
              <w:pStyle w:val="Default"/>
              <w:jc w:val="both"/>
              <w:rPr/>
            </w:pPr>
            <w:r>
              <w:rPr/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единиц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191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190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190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190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190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pacing w:lineRule="auto" w:line="240"/>
              <w:jc w:val="both"/>
              <w:rPr/>
            </w:pPr>
            <w:r>
              <w:rPr>
                <w:sz w:val="21"/>
                <w:szCs w:val="21"/>
              </w:rPr>
              <w:t xml:space="preserve">возможность приобретения продукции республиканских товаропроизводителей </w:t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>
          <w:trHeight w:val="383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pacing w:lineRule="auto" w:line="240"/>
              <w:jc w:val="both"/>
              <w:rPr/>
            </w:pPr>
            <w:r>
              <w:rPr>
                <w:sz w:val="21"/>
                <w:szCs w:val="21"/>
              </w:rPr>
              <w:t xml:space="preserve">Рост числа торговых объектов </w:t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процент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95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96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97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98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98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pacing w:lineRule="auto" w:line="240"/>
              <w:jc w:val="both"/>
              <w:rPr/>
            </w:pPr>
            <w:r>
              <w:rPr>
                <w:sz w:val="21"/>
                <w:szCs w:val="21"/>
              </w:rPr>
              <w:t xml:space="preserve">доступность объектов торговли для населения </w:t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>
          <w:trHeight w:val="383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3.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jc w:val="both"/>
              <w:rPr/>
            </w:pPr>
            <w:r>
              <w:rPr>
                <w:sz w:val="21"/>
                <w:szCs w:val="21"/>
              </w:rPr>
              <w:t xml:space="preserve">Минимальная обеспеченность населения площадью стационарных торговых объектов </w:t>
            </w:r>
          </w:p>
          <w:p>
            <w:pPr>
              <w:pStyle w:val="Default"/>
              <w:jc w:val="both"/>
              <w:rPr/>
            </w:pPr>
            <w:r>
              <w:rPr/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pacing w:lineRule="auto" w:line="240"/>
              <w:jc w:val="center"/>
              <w:rPr/>
            </w:pPr>
            <w:r>
              <w:rPr>
                <w:sz w:val="21"/>
                <w:szCs w:val="21"/>
              </w:rPr>
              <w:t xml:space="preserve">кв.м на 1000 человек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521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530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532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535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538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pacing w:lineRule="auto" w:line="240"/>
              <w:jc w:val="both"/>
              <w:rPr/>
            </w:pPr>
            <w:r>
              <w:rPr>
                <w:sz w:val="21"/>
                <w:szCs w:val="21"/>
              </w:rPr>
              <w:t xml:space="preserve">доступность объектов торговли для населения </w:t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Мероприятия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Наименование мероприятия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Срок реализации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Исполнители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jc w:val="both"/>
              <w:rPr/>
            </w:pPr>
            <w:r>
              <w:rPr>
                <w:sz w:val="21"/>
                <w:szCs w:val="21"/>
              </w:rPr>
              <w:t xml:space="preserve">Создание условий для развития конкуренции на рынке розничной торговли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2018-2021 годы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района, Ермакова Наталья Алексеевна — зав. отделом по труду и торговле,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Содействие  в проведении мониторинга состояния конкурентной среды в сфере потребительского рынка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ежегодно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 района,  Ермакова Наталья Алексеевна — зав. отделом по труду и торговле,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Организация проведения круглых столов (встреч) руководителей (представителей) перерабатывающей промышленности с руководителями (представителями) организаций розничной и оптовой торговли, в ходе которых определять совместные решения по обеспечению равного доступа товаров, выпускаемых предприятиями Республики Мордовия, на потребительский рынок республики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pacing w:lineRule="auto" w:line="276" w:before="0" w:after="200"/>
              <w:jc w:val="center"/>
              <w:rPr/>
            </w:pPr>
            <w:r>
              <w:rPr>
                <w:sz w:val="21"/>
                <w:szCs w:val="21"/>
              </w:rPr>
              <w:t xml:space="preserve">не реже одного раза в полугодие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Корнеева Светлана Александровна - Заместитель Главы района.  Ермакова Наталья Алексеевна — зав. отделом по труду и торговле,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5664" w:type="dxa"/>
            <w:gridSpan w:val="4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Рынок услуг  социального обслуживания населения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Целевые показатели</w:t>
            </w:r>
          </w:p>
        </w:tc>
      </w:tr>
      <w:tr>
        <w:trPr>
          <w:trHeight w:val="680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jc w:val="center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Наименование  показателя</w:t>
            </w:r>
          </w:p>
        </w:tc>
        <w:tc>
          <w:tcPr>
            <w:tcW w:w="1354" w:type="dxa"/>
            <w:gridSpan w:val="5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Ключевые показатели эффектив-ности (далее КПЭ)</w:t>
            </w:r>
          </w:p>
        </w:tc>
        <w:tc>
          <w:tcPr>
            <w:tcW w:w="804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2017 год</w:t>
            </w:r>
          </w:p>
        </w:tc>
        <w:tc>
          <w:tcPr>
            <w:tcW w:w="3514" w:type="dxa"/>
            <w:gridSpan w:val="2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Значение КПЭ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(целевые ориентиры)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Результат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Ответственные исполнители</w:t>
            </w:r>
          </w:p>
        </w:tc>
      </w:tr>
      <w:tr>
        <w:trPr>
          <w:trHeight w:val="332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1354" w:type="dxa"/>
            <w:gridSpan w:val="5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04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2018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2019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2020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2021 год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223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Удельный вес негосударственных организаций  социального обслуживания, основанных на иных формах собственности (кроме муниципальной), в общем количестве организаций социального обслуживания всех форм собственности в муниципальном районе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процент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67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67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67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67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67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появление социально ориентированных некоммерческих организаций, индивидуальных предпринимателей на рынке предоставления услуг в сфере социального обслуживания населения 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Мероприятия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Наименование мероприятия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Срок реализации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Исполнители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Развитие конкуренции в сфере социального обслуживания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pacing w:lineRule="auto" w:line="276" w:before="0" w:after="200"/>
              <w:jc w:val="center"/>
              <w:rPr/>
            </w:pPr>
            <w:r>
              <w:rPr>
                <w:sz w:val="21"/>
                <w:szCs w:val="21"/>
              </w:rPr>
              <w:t xml:space="preserve">2018-2021 годы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Содействие в проведении мониторинга состояния конкурентной среды на рынке услуг социального обслуживания населения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ежегодно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Киреев Николай Николаевич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5664" w:type="dxa"/>
            <w:gridSpan w:val="4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Рынок услуг  перевозок пассажиров наземным транспортом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Целевые показатели</w:t>
            </w:r>
          </w:p>
        </w:tc>
      </w:tr>
      <w:tr>
        <w:trPr>
          <w:trHeight w:val="680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jc w:val="center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Наименование  показателя</w:t>
            </w:r>
          </w:p>
        </w:tc>
        <w:tc>
          <w:tcPr>
            <w:tcW w:w="1354" w:type="dxa"/>
            <w:gridSpan w:val="5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Ключевые показатели эффектив-ности (далее КПЭ)</w:t>
            </w:r>
          </w:p>
        </w:tc>
        <w:tc>
          <w:tcPr>
            <w:tcW w:w="804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2017 год</w:t>
            </w:r>
          </w:p>
        </w:tc>
        <w:tc>
          <w:tcPr>
            <w:tcW w:w="3514" w:type="dxa"/>
            <w:gridSpan w:val="2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Значение КПЭ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(целевые ориентиры)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Результат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Ответственные исполнители</w:t>
            </w:r>
          </w:p>
        </w:tc>
      </w:tr>
      <w:tr>
        <w:trPr>
          <w:trHeight w:val="332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1354" w:type="dxa"/>
            <w:gridSpan w:val="5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04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2018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2019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2020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2021 год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117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</w:tr>
      <w:tr>
        <w:trPr>
          <w:trHeight w:val="383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Общее количество зарегистрированных хозяйствующих субъектов на рынке услуг перевозок пассажиров наземным транспортом на территории муниципального образования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единиц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6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6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7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7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7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pacing w:lineRule="auto" w:line="240"/>
              <w:jc w:val="both"/>
              <w:rPr/>
            </w:pPr>
            <w:r>
              <w:rPr>
                <w:sz w:val="21"/>
                <w:szCs w:val="21"/>
              </w:rPr>
              <w:t>развитие сектора немуниципаль-ных перевозчиков на межмуниципальных маршрутах регулярных перевозок пассажиров наземным транспортом</w:t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Шичкин Сергей Федорович-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Мероприятия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Наименование мероприятия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Срок реализации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Исполнители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Создание условий для развития конкуренции на рынке услуг перевозок пассажиров наземным транспортом, развитие сектора немуниципальных перевозчиков  пассажиров наземным транспортом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2018-2021 годы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Шичкин Сергей Федорович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Содействие  в проведении мониторинга состояния конкурентной среды в сфере услуг перевозок пассажиров наземным транспортом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pacing w:lineRule="auto" w:line="276" w:before="0" w:after="200"/>
              <w:jc w:val="center"/>
              <w:rPr/>
            </w:pPr>
            <w:r>
              <w:rPr>
                <w:sz w:val="21"/>
                <w:szCs w:val="21"/>
              </w:rPr>
              <w:t xml:space="preserve">ежегодно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Шичкин Сергей Федорович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5664" w:type="dxa"/>
            <w:gridSpan w:val="4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Рынок услуг  связи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Целевые показатели</w:t>
            </w:r>
          </w:p>
        </w:tc>
      </w:tr>
      <w:tr>
        <w:trPr>
          <w:trHeight w:val="680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jc w:val="center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Наименование  показателя</w:t>
            </w:r>
          </w:p>
        </w:tc>
        <w:tc>
          <w:tcPr>
            <w:tcW w:w="1354" w:type="dxa"/>
            <w:gridSpan w:val="5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Ключевые показатели эффектив-ности (далее КПЭ)</w:t>
            </w:r>
          </w:p>
        </w:tc>
        <w:tc>
          <w:tcPr>
            <w:tcW w:w="804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2017 год</w:t>
            </w:r>
          </w:p>
        </w:tc>
        <w:tc>
          <w:tcPr>
            <w:tcW w:w="3514" w:type="dxa"/>
            <w:gridSpan w:val="2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Значение КПЭ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(целевые ориентиры)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Результат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Ответственные исполнители</w:t>
            </w:r>
          </w:p>
        </w:tc>
      </w:tr>
      <w:tr>
        <w:trPr>
          <w:trHeight w:val="332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1354" w:type="dxa"/>
            <w:gridSpan w:val="5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04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2018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2019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2020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2021 год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183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Доля домохозяйств, пользующихся услугами проводного  широкополосного доступа в информационно-телекоммуникационную сеть Интернет от общей численности домохозяйств, находящихся на территории Торбеевского муниципального района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процент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33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34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34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35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35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Default"/>
              <w:spacing w:lineRule="auto" w:line="240"/>
              <w:jc w:val="both"/>
              <w:rPr/>
            </w:pPr>
            <w:r>
              <w:rPr>
                <w:sz w:val="21"/>
                <w:szCs w:val="21"/>
              </w:rPr>
              <w:t>создание условий для развития конкуренции на рынке услуг широкополосного доступа в информационно-телекоммуника-ционную сеть Интернет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Шичкин Сергей Федорович - Заместитель Главы  района  во взаимодействии с подразделениями, отвечающими за соответствующее направление </w:t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Мероприятия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Наименование мероприятия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Срок реализации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Исполнители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Создание условий для развития конкуренции на рынке услуг связи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2018-2021 годы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Шичкин Сергей Федорович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Содействие в проведении мониторинга состояния конкурентной среды в сфере услуг связи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ежегодно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Шичкин Сергей Федорович - Заместитель Главы  района  во взаимодействии с подразделениями, отвечающими за соответствующее направление 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V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. Приоритетные рынки</w:t>
            </w:r>
          </w:p>
        </w:tc>
      </w:tr>
      <w:tr>
        <w:trPr>
          <w:trHeight w:val="475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5664" w:type="dxa"/>
            <w:gridSpan w:val="4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Рынок производства и переработки молока</w:t>
            </w:r>
          </w:p>
        </w:tc>
      </w:tr>
      <w:tr>
        <w:trPr>
          <w:trHeight w:val="359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5664" w:type="dxa"/>
            <w:gridSpan w:val="4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Целевые показатели</w:t>
            </w:r>
          </w:p>
        </w:tc>
      </w:tr>
      <w:tr>
        <w:trPr>
          <w:trHeight w:val="680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jc w:val="center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Наименование  показателя</w:t>
            </w:r>
          </w:p>
        </w:tc>
        <w:tc>
          <w:tcPr>
            <w:tcW w:w="1354" w:type="dxa"/>
            <w:gridSpan w:val="5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Ключевые показатели эффектив-ности  (далее КПЭ)</w:t>
            </w:r>
          </w:p>
        </w:tc>
        <w:tc>
          <w:tcPr>
            <w:tcW w:w="804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2017 год</w:t>
            </w:r>
          </w:p>
        </w:tc>
        <w:tc>
          <w:tcPr>
            <w:tcW w:w="3514" w:type="dxa"/>
            <w:gridSpan w:val="2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Значение КПЭ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(целевые ориентиры)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Результат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Ответственные исполнители</w:t>
            </w:r>
          </w:p>
        </w:tc>
      </w:tr>
      <w:tr>
        <w:trPr>
          <w:trHeight w:val="332" w:hRule="atLeast"/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3284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1354" w:type="dxa"/>
            <w:gridSpan w:val="5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04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2018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/>
                <w:sz w:val="21"/>
                <w:szCs w:val="21"/>
              </w:rPr>
              <w:t>год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2019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2020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год 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2021 год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295" w:hRule="atLeast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2992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</w:tr>
      <w:tr>
        <w:trPr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Количество сельскохозяйственных организаций, осуществляющих деятельность  по производству молока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единиц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11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11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11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sz w:val="21"/>
                <w:szCs w:val="21"/>
              </w:rPr>
              <w:t>11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11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развитие конкурентных условий на продовольственном рынке путем увеличения участников-производителей молочной  продукции</w:t>
            </w:r>
          </w:p>
        </w:tc>
        <w:tc>
          <w:tcPr>
            <w:tcW w:w="2992" w:type="dxa"/>
            <w:gridSpan w:val="3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Мухоморов Юрий Валентинович - Первый заместитель Главы администрации района  во взаимодействии с подразде-лениями, отвечающими за соответствующее направление, во взаимодействии с  сельхозпредприятиями</w:t>
            </w:r>
          </w:p>
        </w:tc>
      </w:tr>
      <w:tr>
        <w:trPr>
          <w:cantSplit w:val="true"/>
        </w:trPr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Производства молока в общественном секторе </w:t>
            </w:r>
          </w:p>
        </w:tc>
        <w:tc>
          <w:tcPr>
            <w:tcW w:w="135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тыс.тонн</w:t>
            </w:r>
          </w:p>
        </w:tc>
        <w:tc>
          <w:tcPr>
            <w:tcW w:w="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6034,3</w:t>
            </w:r>
          </w:p>
        </w:tc>
        <w:tc>
          <w:tcPr>
            <w:tcW w:w="82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6140</w:t>
            </w:r>
          </w:p>
        </w:tc>
        <w:tc>
          <w:tcPr>
            <w:tcW w:w="94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6248</w:t>
            </w:r>
          </w:p>
        </w:tc>
        <w:tc>
          <w:tcPr>
            <w:tcW w:w="88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6381</w:t>
            </w:r>
          </w:p>
        </w:tc>
        <w:tc>
          <w:tcPr>
            <w:tcW w:w="85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  <w:t>6400</w:t>
            </w:r>
          </w:p>
        </w:tc>
        <w:tc>
          <w:tcPr>
            <w:tcW w:w="3165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увеличение объемов производства молока</w:t>
            </w:r>
          </w:p>
        </w:tc>
        <w:tc>
          <w:tcPr>
            <w:tcW w:w="2992" w:type="dxa"/>
            <w:gridSpan w:val="3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15113" w:type="dxa"/>
            <w:gridSpan w:val="4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Мероприятия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Наименование мероприятия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Срок реализации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Исполнители мероприятия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Содействие в создании благоприятных условий функционирования хозяйствующих субъектов, осуществляющих деятельность на рынке производства и переработки молока и 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способствующих развитию конкурентных отношений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в течение периода реализации «дорожной карты»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Мухоморов Юрий Валентинович - Первый заместитель Главы администрации района  во взаимодействии с подразделениями, отвечающими за соответствующее направление, во взаимодействии с  сельхозпредприятиями</w:t>
            </w:r>
          </w:p>
        </w:tc>
      </w:tr>
      <w:tr>
        <w:trPr/>
        <w:tc>
          <w:tcPr>
            <w:tcW w:w="222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55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4638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Содействие  в проведении мониторинга оценки состояния конкурентной среды на рынке производства и переработки молока и внедрения лучших практик развития конкуренции на курируемом рынке </w:t>
            </w:r>
          </w:p>
        </w:tc>
        <w:tc>
          <w:tcPr>
            <w:tcW w:w="4318" w:type="dxa"/>
            <w:gridSpan w:val="2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ежегодно</w:t>
            </w:r>
          </w:p>
        </w:tc>
        <w:tc>
          <w:tcPr>
            <w:tcW w:w="6157" w:type="dxa"/>
            <w:gridSpan w:val="10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</w:rPr>
              <w:t>Мухоморов Юрий Валентинович - Первый заместитель Главы администрации района  во взаимодействии с подразде-лениями, отвечающими за соответствующее направление, во взаимодействии с  сельхозпредприятиями</w:t>
            </w:r>
          </w:p>
        </w:tc>
      </w:tr>
      <w:tr>
        <w:trPr/>
        <w:tc>
          <w:tcPr>
            <w:tcW w:w="15886" w:type="dxa"/>
            <w:gridSpan w:val="46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highlight w:val="white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highlight w:val="white"/>
              </w:rPr>
              <w:t xml:space="preserve">           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highlight w:val="white"/>
              </w:rPr>
              <w:t>Рынок услуг общественного питания</w:t>
            </w:r>
          </w:p>
        </w:tc>
      </w:tr>
      <w:tr>
        <w:trPr/>
        <w:tc>
          <w:tcPr>
            <w:tcW w:w="15886" w:type="dxa"/>
            <w:gridSpan w:val="4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highlight w:val="white"/>
              </w:rPr>
              <w:t xml:space="preserve">       </w:t>
            </w:r>
            <w:r>
              <w:rPr>
                <w:rFonts w:ascii="Times New Roman" w:hAnsi="Times New Roman"/>
                <w:b/>
                <w:sz w:val="20"/>
                <w:szCs w:val="20"/>
                <w:highlight w:val="white"/>
              </w:rPr>
              <w:t>Целевые показатели</w:t>
            </w:r>
          </w:p>
        </w:tc>
      </w:tr>
      <w:tr>
        <w:trPr>
          <w:trHeight w:val="680" w:hRule="atLeast"/>
        </w:trPr>
        <w:tc>
          <w:tcPr>
            <w:tcW w:w="727" w:type="dxa"/>
            <w:gridSpan w:val="3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</w:p>
        </w:tc>
        <w:tc>
          <w:tcPr>
            <w:tcW w:w="4253" w:type="dxa"/>
            <w:gridSpan w:val="6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</w:p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Наименование  показателя</w:t>
            </w:r>
          </w:p>
        </w:tc>
        <w:tc>
          <w:tcPr>
            <w:tcW w:w="1406" w:type="dxa"/>
            <w:gridSpan w:val="8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Ключевые показатели эффектив-ности (далее КПЭ)</w:t>
            </w:r>
          </w:p>
        </w:tc>
        <w:tc>
          <w:tcPr>
            <w:tcW w:w="816" w:type="dxa"/>
            <w:gridSpan w:val="5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</w:p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2017 год</w:t>
            </w:r>
          </w:p>
        </w:tc>
        <w:tc>
          <w:tcPr>
            <w:tcW w:w="829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</w:p>
        </w:tc>
        <w:tc>
          <w:tcPr>
            <w:tcW w:w="2550" w:type="dxa"/>
            <w:gridSpan w:val="1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ind w:left="432" w:hanging="0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    </w:t>
            </w: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Значение КПЭ </w:t>
            </w:r>
          </w:p>
          <w:p>
            <w:pPr>
              <w:pStyle w:val="Normal"/>
              <w:spacing w:lineRule="auto" w:line="240" w:before="0" w:after="0"/>
              <w:ind w:left="207" w:hanging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(целевые ориентиры)</w:t>
            </w:r>
          </w:p>
        </w:tc>
        <w:tc>
          <w:tcPr>
            <w:tcW w:w="2413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</w:p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Результат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Ответственные исполнители</w:t>
            </w:r>
          </w:p>
        </w:tc>
      </w:tr>
      <w:tr>
        <w:trPr>
          <w:trHeight w:val="332" w:hRule="atLeast"/>
        </w:trPr>
        <w:tc>
          <w:tcPr>
            <w:tcW w:w="727" w:type="dxa"/>
            <w:gridSpan w:val="3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</w:p>
        </w:tc>
        <w:tc>
          <w:tcPr>
            <w:tcW w:w="4253" w:type="dxa"/>
            <w:gridSpan w:val="6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</w:p>
        </w:tc>
        <w:tc>
          <w:tcPr>
            <w:tcW w:w="1406" w:type="dxa"/>
            <w:gridSpan w:val="8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</w:p>
        </w:tc>
        <w:tc>
          <w:tcPr>
            <w:tcW w:w="816" w:type="dxa"/>
            <w:gridSpan w:val="5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</w:p>
        </w:tc>
        <w:tc>
          <w:tcPr>
            <w:tcW w:w="843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2018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год </w:t>
            </w:r>
          </w:p>
        </w:tc>
        <w:tc>
          <w:tcPr>
            <w:tcW w:w="839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2019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год </w:t>
            </w:r>
          </w:p>
        </w:tc>
        <w:tc>
          <w:tcPr>
            <w:tcW w:w="84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2020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год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</w:p>
        </w:tc>
        <w:tc>
          <w:tcPr>
            <w:tcW w:w="8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2021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год</w:t>
            </w:r>
          </w:p>
        </w:tc>
        <w:tc>
          <w:tcPr>
            <w:tcW w:w="2414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</w:p>
        </w:tc>
        <w:tc>
          <w:tcPr>
            <w:tcW w:w="28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</w:p>
        </w:tc>
      </w:tr>
      <w:tr>
        <w:trPr>
          <w:trHeight w:val="187" w:hRule="atLeast"/>
        </w:trPr>
        <w:tc>
          <w:tcPr>
            <w:tcW w:w="727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1</w:t>
            </w:r>
          </w:p>
        </w:tc>
        <w:tc>
          <w:tcPr>
            <w:tcW w:w="4253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2</w:t>
            </w:r>
          </w:p>
        </w:tc>
        <w:tc>
          <w:tcPr>
            <w:tcW w:w="1406" w:type="dxa"/>
            <w:gridSpan w:val="8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3</w:t>
            </w:r>
          </w:p>
        </w:tc>
        <w:tc>
          <w:tcPr>
            <w:tcW w:w="816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4</w:t>
            </w:r>
          </w:p>
        </w:tc>
        <w:tc>
          <w:tcPr>
            <w:tcW w:w="843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5</w:t>
            </w:r>
          </w:p>
        </w:tc>
        <w:tc>
          <w:tcPr>
            <w:tcW w:w="839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6</w:t>
            </w:r>
          </w:p>
        </w:tc>
        <w:tc>
          <w:tcPr>
            <w:tcW w:w="84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7</w:t>
            </w:r>
          </w:p>
        </w:tc>
        <w:tc>
          <w:tcPr>
            <w:tcW w:w="8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8</w:t>
            </w:r>
          </w:p>
        </w:tc>
        <w:tc>
          <w:tcPr>
            <w:tcW w:w="2414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9</w:t>
            </w:r>
          </w:p>
        </w:tc>
        <w:tc>
          <w:tcPr>
            <w:tcW w:w="28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10</w:t>
            </w:r>
          </w:p>
        </w:tc>
      </w:tr>
      <w:tr>
        <w:trPr/>
        <w:tc>
          <w:tcPr>
            <w:tcW w:w="727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1.</w:t>
            </w:r>
          </w:p>
        </w:tc>
        <w:tc>
          <w:tcPr>
            <w:tcW w:w="4253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Default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white"/>
              </w:rPr>
              <w:t xml:space="preserve">Обеспечение населения муниципального района посадочными местами в местах общественного питания  </w:t>
            </w:r>
          </w:p>
          <w:p>
            <w:pPr>
              <w:pStyle w:val="Default"/>
              <w:spacing w:lineRule="auto" w:line="276" w:before="0" w:after="200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</w:r>
          </w:p>
        </w:tc>
        <w:tc>
          <w:tcPr>
            <w:tcW w:w="1406" w:type="dxa"/>
            <w:gridSpan w:val="8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количество на 1000 жителей</w:t>
            </w:r>
          </w:p>
        </w:tc>
        <w:tc>
          <w:tcPr>
            <w:tcW w:w="816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before="0" w:after="200"/>
              <w:jc w:val="center"/>
              <w:rPr>
                <w:highlight w:val="white"/>
              </w:rPr>
            </w:pPr>
            <w:r>
              <w:rPr>
                <w:highlight w:val="white"/>
              </w:rPr>
              <w:t>80,7</w:t>
            </w:r>
          </w:p>
        </w:tc>
        <w:tc>
          <w:tcPr>
            <w:tcW w:w="843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before="0" w:after="200"/>
              <w:jc w:val="center"/>
              <w:rPr>
                <w:highlight w:val="white"/>
              </w:rPr>
            </w:pPr>
            <w:r>
              <w:rPr>
                <w:highlight w:val="white"/>
              </w:rPr>
              <w:t>81</w:t>
            </w:r>
          </w:p>
        </w:tc>
        <w:tc>
          <w:tcPr>
            <w:tcW w:w="839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before="0" w:after="200"/>
              <w:jc w:val="center"/>
              <w:rPr>
                <w:highlight w:val="white"/>
              </w:rPr>
            </w:pPr>
            <w:r>
              <w:rPr>
                <w:highlight w:val="white"/>
              </w:rPr>
              <w:t>85</w:t>
            </w:r>
          </w:p>
        </w:tc>
        <w:tc>
          <w:tcPr>
            <w:tcW w:w="84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before="0" w:after="200"/>
              <w:jc w:val="center"/>
              <w:rPr>
                <w:highlight w:val="white"/>
              </w:rPr>
            </w:pPr>
            <w:r>
              <w:rPr>
                <w:highlight w:val="white"/>
              </w:rPr>
              <w:t>85</w:t>
            </w:r>
          </w:p>
        </w:tc>
        <w:tc>
          <w:tcPr>
            <w:tcW w:w="8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before="0" w:after="200"/>
              <w:jc w:val="center"/>
              <w:rPr>
                <w:highlight w:val="white"/>
              </w:rPr>
            </w:pPr>
            <w:r>
              <w:rPr>
                <w:highlight w:val="white"/>
              </w:rPr>
              <w:t>85</w:t>
            </w:r>
          </w:p>
        </w:tc>
        <w:tc>
          <w:tcPr>
            <w:tcW w:w="2414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Развитие конкурентных условий в сфере общественного питания, увеличение субъектов хозяйствования снижение стоимости среднего чека в организациях питания </w:t>
            </w:r>
          </w:p>
        </w:tc>
        <w:tc>
          <w:tcPr>
            <w:tcW w:w="2893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  <w:highlight w:val="white"/>
              </w:rPr>
              <w:t>Корнеева Светлана Александровна - Заместитель Главы  района  во взаимодействии с подразделениями, отвечающими за соответствующее направление</w:t>
            </w:r>
          </w:p>
        </w:tc>
      </w:tr>
      <w:tr>
        <w:trPr/>
        <w:tc>
          <w:tcPr>
            <w:tcW w:w="727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2.</w:t>
            </w:r>
          </w:p>
        </w:tc>
        <w:tc>
          <w:tcPr>
            <w:tcW w:w="4253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Default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white"/>
              </w:rPr>
              <w:t>Темп роста оборота общественного питания к соответствующему периоду прошлого года</w:t>
            </w:r>
          </w:p>
        </w:tc>
        <w:tc>
          <w:tcPr>
            <w:tcW w:w="1406" w:type="dxa"/>
            <w:gridSpan w:val="8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процент</w:t>
            </w:r>
          </w:p>
        </w:tc>
        <w:tc>
          <w:tcPr>
            <w:tcW w:w="816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before="0" w:after="200"/>
              <w:jc w:val="center"/>
              <w:rPr/>
            </w:pPr>
            <w:r>
              <w:rPr/>
              <w:t>93,4</w:t>
            </w:r>
          </w:p>
        </w:tc>
        <w:tc>
          <w:tcPr>
            <w:tcW w:w="843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before="0" w:after="200"/>
              <w:jc w:val="center"/>
              <w:rPr/>
            </w:pPr>
            <w:r>
              <w:rPr/>
              <w:t>95</w:t>
            </w:r>
          </w:p>
        </w:tc>
        <w:tc>
          <w:tcPr>
            <w:tcW w:w="839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before="0" w:after="200"/>
              <w:jc w:val="center"/>
              <w:rPr>
                <w:highlight w:val="white"/>
              </w:rPr>
            </w:pPr>
            <w:r>
              <w:rPr>
                <w:highlight w:val="white"/>
              </w:rPr>
              <w:t>100</w:t>
            </w:r>
          </w:p>
        </w:tc>
        <w:tc>
          <w:tcPr>
            <w:tcW w:w="84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before="0" w:after="200"/>
              <w:jc w:val="center"/>
              <w:rPr>
                <w:highlight w:val="white"/>
              </w:rPr>
            </w:pPr>
            <w:r>
              <w:rPr>
                <w:highlight w:val="white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before="0" w:after="200"/>
              <w:jc w:val="center"/>
              <w:rPr>
                <w:highlight w:val="white"/>
              </w:rPr>
            </w:pPr>
            <w:r>
              <w:rPr>
                <w:highlight w:val="white"/>
              </w:rPr>
              <w:t>100</w:t>
            </w:r>
          </w:p>
        </w:tc>
        <w:tc>
          <w:tcPr>
            <w:tcW w:w="2414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удовлетворение спроса населения в услугах общественного питания </w:t>
            </w:r>
          </w:p>
        </w:tc>
        <w:tc>
          <w:tcPr>
            <w:tcW w:w="2893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</w:p>
        </w:tc>
      </w:tr>
      <w:tr>
        <w:trPr/>
        <w:tc>
          <w:tcPr>
            <w:tcW w:w="15886" w:type="dxa"/>
            <w:gridSpan w:val="4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highlight w:val="white"/>
              </w:rPr>
              <w:t>Мероприятия</w:t>
            </w:r>
          </w:p>
        </w:tc>
      </w:tr>
      <w:tr>
        <w:trPr>
          <w:trHeight w:val="413" w:hRule="atLeast"/>
        </w:trPr>
        <w:tc>
          <w:tcPr>
            <w:tcW w:w="727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</w:r>
          </w:p>
        </w:tc>
        <w:tc>
          <w:tcPr>
            <w:tcW w:w="5659" w:type="dxa"/>
            <w:gridSpan w:val="1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highlight w:val="white"/>
              </w:rPr>
              <w:t>Наименование мероприятия</w:t>
            </w:r>
          </w:p>
        </w:tc>
        <w:tc>
          <w:tcPr>
            <w:tcW w:w="3566" w:type="dxa"/>
            <w:gridSpan w:val="20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highlight w:val="white"/>
              </w:rPr>
              <w:t>Срок реализации</w:t>
            </w:r>
          </w:p>
        </w:tc>
        <w:tc>
          <w:tcPr>
            <w:tcW w:w="5934" w:type="dxa"/>
            <w:gridSpan w:val="9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highlight w:val="white"/>
              </w:rPr>
              <w:t>Исполнители</w:t>
            </w:r>
          </w:p>
        </w:tc>
      </w:tr>
      <w:tr>
        <w:trPr/>
        <w:tc>
          <w:tcPr>
            <w:tcW w:w="727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1.</w:t>
            </w:r>
          </w:p>
        </w:tc>
        <w:tc>
          <w:tcPr>
            <w:tcW w:w="5659" w:type="dxa"/>
            <w:gridSpan w:val="1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Рост числа организаций в сфере общественного питания за счет реконструкции, ремонта действующих, и строительства новых предприятий общественного питания</w:t>
            </w:r>
          </w:p>
        </w:tc>
        <w:tc>
          <w:tcPr>
            <w:tcW w:w="3566" w:type="dxa"/>
            <w:gridSpan w:val="20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2018-2021 годы</w:t>
            </w:r>
          </w:p>
        </w:tc>
        <w:tc>
          <w:tcPr>
            <w:tcW w:w="5934" w:type="dxa"/>
            <w:gridSpan w:val="9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  <w:highlight w:val="white"/>
              </w:rPr>
              <w:t>Корнеева Светлана Александровна - Заместитель Главы  района  во взаимодействии с подразделениями, отвечающими за соответствующее направление</w:t>
            </w:r>
          </w:p>
        </w:tc>
      </w:tr>
      <w:tr>
        <w:trPr/>
        <w:tc>
          <w:tcPr>
            <w:tcW w:w="727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2.</w:t>
            </w:r>
          </w:p>
        </w:tc>
        <w:tc>
          <w:tcPr>
            <w:tcW w:w="5659" w:type="dxa"/>
            <w:gridSpan w:val="1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 xml:space="preserve">Содействие в проведении мониторинга  состояния конкурентной  среды на рынке услуг общественного питания </w:t>
            </w:r>
          </w:p>
        </w:tc>
        <w:tc>
          <w:tcPr>
            <w:tcW w:w="3566" w:type="dxa"/>
            <w:gridSpan w:val="20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  <w:highlight w:val="white"/>
              </w:rPr>
              <w:t>ежегодно</w:t>
            </w:r>
          </w:p>
        </w:tc>
        <w:tc>
          <w:tcPr>
            <w:tcW w:w="5934" w:type="dxa"/>
            <w:gridSpan w:val="9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92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1"/>
                <w:szCs w:val="21"/>
                <w:highlight w:val="white"/>
              </w:rPr>
              <w:t>Корнеева Светлана Александровна - Заместитель Главы  района  во взаимодействии с подразделениями, отвечающими за соответствующее направление</w:t>
            </w:r>
          </w:p>
        </w:tc>
      </w:tr>
    </w:tbl>
    <w:p>
      <w:pPr>
        <w:pStyle w:val="Normal"/>
        <w:spacing w:lineRule="auto" w:line="240" w:before="0" w:after="0"/>
        <w:ind w:left="5328" w:hanging="0"/>
        <w:rPr/>
      </w:pPr>
      <w:r>
        <w:rPr/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22">
                <wp:simplePos x="0" y="0"/>
                <wp:positionH relativeFrom="column">
                  <wp:posOffset>7603490</wp:posOffset>
                </wp:positionH>
                <wp:positionV relativeFrom="paragraph">
                  <wp:posOffset>153670</wp:posOffset>
                </wp:positionV>
                <wp:extent cx="2401570" cy="1204595"/>
                <wp:effectExtent l="0" t="0" r="0" b="0"/>
                <wp:wrapSquare wrapText="bothSides"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1570" cy="1204595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Style32"/>
                              <w:suppressAutoHyphens w:val="true"/>
                              <w:spacing w:before="0" w:after="20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189.1pt;height:94.85pt;mso-wrap-distance-left:9pt;mso-wrap-distance-right:9pt;mso-wrap-distance-top:0pt;mso-wrap-distance-bottom:0pt;margin-top:12.1pt;mso-position-vertical-relative:text;margin-left:598.7pt;mso-position-horizontal-relative:text">
                <v:textbox>
                  <w:txbxContent>
                    <w:p>
                      <w:pPr>
                        <w:pStyle w:val="Style32"/>
                        <w:suppressAutoHyphens w:val="true"/>
                        <w:spacing w:before="0" w:after="200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b/>
          <w:bCs/>
          <w:szCs w:val="20"/>
          <w:lang w:eastAsia="ru-RU"/>
        </w:rPr>
      </w:pPr>
      <w:r>
        <w:rPr>
          <w:rFonts w:ascii="Times New Roman" w:hAnsi="Times New Roman"/>
          <w:b/>
          <w:sz w:val="24"/>
          <w:szCs w:val="24"/>
        </w:rPr>
        <w:t>Основание: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</w:rPr>
        <w:t>Соглашение о присоединении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</w:t>
      </w:r>
      <w:r>
        <w:rPr>
          <w:rFonts w:ascii="Times New Roman" w:hAnsi="Times New Roman"/>
        </w:rPr>
        <w:t>к Меморандуму о внедрении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b/>
          <w:bCs/>
          <w:szCs w:val="20"/>
          <w:lang w:eastAsia="ru-RU"/>
        </w:rPr>
      </w:pPr>
      <w:r>
        <w:rPr>
          <w:rFonts w:ascii="Times New Roman" w:hAnsi="Times New Roman"/>
        </w:rPr>
        <w:t xml:space="preserve">                     </w:t>
      </w:r>
      <w:r>
        <w:rPr>
          <w:rFonts w:ascii="Times New Roman" w:hAnsi="Times New Roman"/>
        </w:rPr>
        <w:t>Стандарта развития конкуренции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</w:t>
      </w:r>
      <w:r>
        <w:rPr>
          <w:rFonts w:ascii="Times New Roman" w:hAnsi="Times New Roman"/>
        </w:rPr>
        <w:t>и развитии конкурентной среды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</w:t>
      </w:r>
      <w:r>
        <w:rPr>
          <w:rFonts w:ascii="Times New Roman" w:hAnsi="Times New Roman"/>
        </w:rPr>
        <w:t>в условиях действия Стандарта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</w:t>
      </w:r>
      <w:r>
        <w:rPr>
          <w:rFonts w:ascii="Times New Roman" w:hAnsi="Times New Roman"/>
        </w:rPr>
        <w:t xml:space="preserve">в Республике Мордовия, </w:t>
      </w:r>
    </w:p>
    <w:p>
      <w:pPr>
        <w:pStyle w:val="Normal"/>
        <w:spacing w:lineRule="auto" w:line="240" w:before="0" w:after="0"/>
        <w:jc w:val="both"/>
        <w:rPr/>
      </w:pPr>
      <w:r>
        <w:rPr>
          <w:rFonts w:ascii="Times New Roman" w:hAnsi="Times New Roman"/>
        </w:rPr>
        <w:t xml:space="preserve">                     </w:t>
      </w:r>
      <w:r>
        <w:rPr>
          <w:rFonts w:ascii="Times New Roman" w:hAnsi="Times New Roman"/>
        </w:rPr>
        <w:t xml:space="preserve">подписанное Главой  </w:t>
      </w:r>
      <w:bookmarkStart w:id="2" w:name="_GoBack"/>
      <w:bookmarkEnd w:id="2"/>
      <w:r>
        <w:rPr>
          <w:rFonts w:ascii="Times New Roman" w:hAnsi="Times New Roman"/>
        </w:rPr>
        <w:t>муниципального образования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headerReference w:type="default" r:id="rId9"/>
      <w:type w:val="nextPage"/>
      <w:pgSz w:orient="landscape" w:w="16838" w:h="11906"/>
      <w:pgMar w:left="567" w:right="395" w:header="709" w:top="766" w:footer="0" w:bottom="284" w:gutter="0"/>
      <w:pgNumType w:fmt="decimal"/>
      <w:formProt w:val="false"/>
      <w:titlePg/>
      <w:textDirection w:val="lrTb"/>
      <w:docGrid w:type="default" w:linePitch="360" w:charSpace="184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30"/>
      <w:spacing w:before="0" w:after="200"/>
      <w:ind w:right="360" w:hanging="0"/>
      <w:rPr/>
    </w:pPr>
    <w:r>
      <w:rPr/>
    </w:r>
    <w:r>
      <mc:AlternateContent>
        <mc:Choice Requires="wps">
          <w:drawing>
            <wp:anchor behindDoc="0" distT="0" distB="0" distL="114300" distR="114300" simplePos="0" locked="0" layoutInCell="1" allowOverlap="1" relativeHeight="21">
              <wp:simplePos x="0" y="0"/>
              <wp:positionH relativeFrom="column">
                <wp:align>right</wp:align>
              </wp:positionH>
              <wp:positionV relativeFrom="paragraph">
                <wp:posOffset>635</wp:posOffset>
              </wp:positionV>
              <wp:extent cx="197485" cy="168910"/>
              <wp:effectExtent l="0" t="0" r="0" b="0"/>
              <wp:wrapSquare wrapText="bothSides"/>
              <wp:docPr id="2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7485" cy="16891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30"/>
                            <w:tabs>
                              <w:tab w:val="center" w:pos="4677" w:leader="none"/>
                              <w:tab w:val="right" w:pos="9355" w:leader="none"/>
                            </w:tabs>
                            <w:spacing w:before="0" w:after="200"/>
                            <w:rPr/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> PAGE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t>21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5.55pt;height:13.3pt;mso-wrap-distance-left:9pt;mso-wrap-distance-right:9pt;mso-wrap-distance-top:0pt;mso-wrap-distance-bottom:0pt;margin-top:0.05pt;mso-position-vertical-relative:text;margin-left:769.25pt;mso-position-horizontal:right;mso-position-horizontal-relative:text">
              <v:textbox>
                <w:txbxContent>
                  <w:p>
                    <w:pPr>
                      <w:pStyle w:val="Style30"/>
                      <w:tabs>
                        <w:tab w:val="center" w:pos="4677" w:leader="none"/>
                        <w:tab w:val="right" w:pos="9355" w:leader="none"/>
                      </w:tabs>
                      <w:spacing w:before="0" w:after="200"/>
                      <w:rPr/>
                    </w:pPr>
                    <w:r>
                      <w:rPr/>
                      <w:fldChar w:fldCharType="begin"/>
                    </w:r>
                    <w:r>
                      <w:rPr/>
                      <w:instrText> PAGE </w:instrText>
                    </w:r>
                    <w:r>
                      <w:rPr/>
                      <w:fldChar w:fldCharType="separate"/>
                    </w:r>
                    <w:r>
                      <w:rPr/>
                      <w:t>21</w:t>
                    </w:r>
                    <w:r>
                      <w:rPr/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4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uiPriority="0" w:qFormat="1"/>
    <w:lsdException w:name="caption" w:qFormat="1"/>
    <w:lsdException w:name="page number" w:qFormat="1"/>
    <w:lsdException w:name="Title" w:uiPriority="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qFormat="1"/>
    <w:lsdException w:name="Balloon Text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f7523"/>
    <w:pPr>
      <w:widowControl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00000A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9"/>
    <w:qFormat/>
    <w:rsid w:val="00ff7523"/>
    <w:pPr>
      <w:spacing w:lineRule="auto" w:line="240"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rsid w:val="00ff7523"/>
    <w:rPr>
      <w:rFonts w:ascii="Arial" w:hAnsi="Arial" w:eastAsia="Times New Roman" w:cs="Times New Roman"/>
      <w:b/>
      <w:bCs/>
      <w:color w:val="26282F"/>
      <w:sz w:val="24"/>
      <w:szCs w:val="24"/>
      <w:lang w:eastAsia="ru-RU"/>
    </w:rPr>
  </w:style>
  <w:style w:type="character" w:styleId="Style13" w:customStyle="1">
    <w:name w:val="Гипертекстовая ссылка"/>
    <w:uiPriority w:val="99"/>
    <w:qFormat/>
    <w:rsid w:val="00ff7523"/>
    <w:rPr>
      <w:color w:val="106BBE"/>
    </w:rPr>
  </w:style>
  <w:style w:type="character" w:styleId="Style14" w:customStyle="1">
    <w:name w:val="Текст выноски Знак"/>
    <w:uiPriority w:val="99"/>
    <w:qFormat/>
    <w:locked/>
    <w:rsid w:val="00ff7523"/>
    <w:rPr>
      <w:rFonts w:ascii="Tahoma" w:hAnsi="Tahoma" w:cs="Times New Roman"/>
      <w:sz w:val="16"/>
      <w:lang w:eastAsia="en-US"/>
    </w:rPr>
  </w:style>
  <w:style w:type="character" w:styleId="Style15" w:customStyle="1">
    <w:name w:val="Интернет-ссылка"/>
    <w:uiPriority w:val="99"/>
    <w:rsid w:val="00ff7523"/>
    <w:rPr>
      <w:rFonts w:cs="Times New Roman"/>
      <w:color w:val="0000FF"/>
      <w:u w:val="single"/>
    </w:rPr>
  </w:style>
  <w:style w:type="character" w:styleId="Style16" w:customStyle="1">
    <w:name w:val="Нижний колонтитул Знак"/>
    <w:uiPriority w:val="99"/>
    <w:semiHidden/>
    <w:qFormat/>
    <w:locked/>
    <w:rsid w:val="00ff7523"/>
    <w:rPr>
      <w:rFonts w:ascii="Calibri" w:hAnsi="Calibri" w:cs="Times New Roman"/>
      <w:lang w:eastAsia="en-US"/>
    </w:rPr>
  </w:style>
  <w:style w:type="character" w:styleId="Pagenumber">
    <w:name w:val="page number"/>
    <w:uiPriority w:val="99"/>
    <w:qFormat/>
    <w:rsid w:val="00ff7523"/>
    <w:rPr>
      <w:rFonts w:cs="Times New Roman"/>
    </w:rPr>
  </w:style>
  <w:style w:type="character" w:styleId="Style17" w:customStyle="1">
    <w:name w:val="Верхний колонтитул Знак"/>
    <w:uiPriority w:val="99"/>
    <w:semiHidden/>
    <w:qFormat/>
    <w:locked/>
    <w:rsid w:val="00ff7523"/>
    <w:rPr>
      <w:rFonts w:ascii="Calibri" w:hAnsi="Calibri" w:cs="Times New Roman"/>
      <w:lang w:eastAsia="en-US"/>
    </w:rPr>
  </w:style>
  <w:style w:type="character" w:styleId="Appleconvertedspace" w:customStyle="1">
    <w:name w:val="apple-converted-space"/>
    <w:uiPriority w:val="99"/>
    <w:qFormat/>
    <w:rsid w:val="00ff7523"/>
    <w:rPr>
      <w:rFonts w:cs="Times New Roman"/>
    </w:rPr>
  </w:style>
  <w:style w:type="character" w:styleId="Style18" w:customStyle="1">
    <w:name w:val="Без интервала Знак"/>
    <w:uiPriority w:val="99"/>
    <w:qFormat/>
    <w:locked/>
    <w:rsid w:val="00ff7523"/>
    <w:rPr>
      <w:rFonts w:ascii="Calibri" w:hAnsi="Calibri"/>
      <w:sz w:val="22"/>
      <w:lang w:val="ru-RU" w:eastAsia="en-US"/>
    </w:rPr>
  </w:style>
  <w:style w:type="character" w:styleId="WW8Num1z0" w:customStyle="1">
    <w:name w:val="WW8Num1z0"/>
    <w:uiPriority w:val="99"/>
    <w:qFormat/>
    <w:rsid w:val="00ff7523"/>
    <w:rPr/>
  </w:style>
  <w:style w:type="character" w:styleId="WW8Num1z1" w:customStyle="1">
    <w:name w:val="WW8Num1z1"/>
    <w:uiPriority w:val="99"/>
    <w:qFormat/>
    <w:rsid w:val="00ff7523"/>
    <w:rPr/>
  </w:style>
  <w:style w:type="character" w:styleId="WW8Num1z2" w:customStyle="1">
    <w:name w:val="WW8Num1z2"/>
    <w:uiPriority w:val="99"/>
    <w:qFormat/>
    <w:rsid w:val="00ff7523"/>
    <w:rPr/>
  </w:style>
  <w:style w:type="character" w:styleId="WW8Num1z3" w:customStyle="1">
    <w:name w:val="WW8Num1z3"/>
    <w:uiPriority w:val="99"/>
    <w:qFormat/>
    <w:rsid w:val="00ff7523"/>
    <w:rPr/>
  </w:style>
  <w:style w:type="character" w:styleId="WW8Num1z4" w:customStyle="1">
    <w:name w:val="WW8Num1z4"/>
    <w:uiPriority w:val="99"/>
    <w:qFormat/>
    <w:rsid w:val="00ff7523"/>
    <w:rPr/>
  </w:style>
  <w:style w:type="character" w:styleId="WW8Num1z5" w:customStyle="1">
    <w:name w:val="WW8Num1z5"/>
    <w:uiPriority w:val="99"/>
    <w:qFormat/>
    <w:rsid w:val="00ff7523"/>
    <w:rPr/>
  </w:style>
  <w:style w:type="character" w:styleId="WW8Num1z6" w:customStyle="1">
    <w:name w:val="WW8Num1z6"/>
    <w:uiPriority w:val="99"/>
    <w:qFormat/>
    <w:rsid w:val="00ff7523"/>
    <w:rPr/>
  </w:style>
  <w:style w:type="character" w:styleId="WW8Num1z7" w:customStyle="1">
    <w:name w:val="WW8Num1z7"/>
    <w:uiPriority w:val="99"/>
    <w:qFormat/>
    <w:rsid w:val="00ff7523"/>
    <w:rPr/>
  </w:style>
  <w:style w:type="character" w:styleId="WW8Num1z8" w:customStyle="1">
    <w:name w:val="WW8Num1z8"/>
    <w:uiPriority w:val="99"/>
    <w:qFormat/>
    <w:rsid w:val="00ff7523"/>
    <w:rPr/>
  </w:style>
  <w:style w:type="character" w:styleId="3" w:customStyle="1">
    <w:name w:val="Основной шрифт абзаца3"/>
    <w:uiPriority w:val="99"/>
    <w:qFormat/>
    <w:rsid w:val="00ff7523"/>
    <w:rPr/>
  </w:style>
  <w:style w:type="character" w:styleId="2" w:customStyle="1">
    <w:name w:val="Основной шрифт абзаца2"/>
    <w:uiPriority w:val="99"/>
    <w:qFormat/>
    <w:rsid w:val="00ff7523"/>
    <w:rPr/>
  </w:style>
  <w:style w:type="character" w:styleId="12" w:customStyle="1">
    <w:name w:val="Основной шрифт абзаца1"/>
    <w:uiPriority w:val="99"/>
    <w:qFormat/>
    <w:rsid w:val="00ff7523"/>
    <w:rPr/>
  </w:style>
  <w:style w:type="character" w:styleId="Style19" w:customStyle="1">
    <w:name w:val="Основной текст Знак"/>
    <w:basedOn w:val="DefaultParagraphFont"/>
    <w:uiPriority w:val="99"/>
    <w:qFormat/>
    <w:rsid w:val="00ff7523"/>
    <w:rPr>
      <w:rFonts w:ascii="Calibri" w:hAnsi="Calibri" w:cs="Calibri"/>
      <w:sz w:val="22"/>
      <w:szCs w:val="22"/>
      <w:lang w:eastAsia="zh-CN"/>
    </w:rPr>
  </w:style>
  <w:style w:type="character" w:styleId="13" w:customStyle="1">
    <w:name w:val="Текст выноски Знак1"/>
    <w:basedOn w:val="DefaultParagraphFont"/>
    <w:uiPriority w:val="99"/>
    <w:semiHidden/>
    <w:qFormat/>
    <w:rsid w:val="00ff7523"/>
    <w:rPr>
      <w:rFonts w:ascii="Tahoma" w:hAnsi="Tahoma" w:cs="Tahoma"/>
      <w:sz w:val="16"/>
      <w:szCs w:val="16"/>
      <w:lang w:eastAsia="zh-CN"/>
    </w:rPr>
  </w:style>
  <w:style w:type="character" w:styleId="ListLabel1" w:customStyle="1">
    <w:name w:val="ListLabel 1"/>
    <w:qFormat/>
    <w:rsid w:val="00ff7523"/>
    <w:rPr>
      <w:rFonts w:cs="Times New Roman"/>
    </w:rPr>
  </w:style>
  <w:style w:type="character" w:styleId="ListLabel2" w:customStyle="1">
    <w:name w:val="ListLabel 2"/>
    <w:qFormat/>
    <w:rsid w:val="00ff7523"/>
    <w:rPr>
      <w:rFonts w:cs="Times New Roman"/>
    </w:rPr>
  </w:style>
  <w:style w:type="character" w:styleId="ListLabel3" w:customStyle="1">
    <w:name w:val="ListLabel 3"/>
    <w:qFormat/>
    <w:rsid w:val="00ff7523"/>
    <w:rPr>
      <w:rFonts w:cs="Times New Roman"/>
    </w:rPr>
  </w:style>
  <w:style w:type="character" w:styleId="ListLabel4" w:customStyle="1">
    <w:name w:val="ListLabel 4"/>
    <w:qFormat/>
    <w:rsid w:val="00ff7523"/>
    <w:rPr>
      <w:rFonts w:cs="Times New Roman"/>
    </w:rPr>
  </w:style>
  <w:style w:type="character" w:styleId="ListLabel5" w:customStyle="1">
    <w:name w:val="ListLabel 5"/>
    <w:qFormat/>
    <w:rsid w:val="00ff7523"/>
    <w:rPr>
      <w:rFonts w:cs="Times New Roman"/>
    </w:rPr>
  </w:style>
  <w:style w:type="character" w:styleId="ListLabel6" w:customStyle="1">
    <w:name w:val="ListLabel 6"/>
    <w:qFormat/>
    <w:rsid w:val="00ff7523"/>
    <w:rPr>
      <w:rFonts w:cs="Times New Roman"/>
    </w:rPr>
  </w:style>
  <w:style w:type="character" w:styleId="ListLabel7" w:customStyle="1">
    <w:name w:val="ListLabel 7"/>
    <w:qFormat/>
    <w:rsid w:val="00ff7523"/>
    <w:rPr>
      <w:rFonts w:cs="Times New Roman"/>
    </w:rPr>
  </w:style>
  <w:style w:type="character" w:styleId="ListLabel8" w:customStyle="1">
    <w:name w:val="ListLabel 8"/>
    <w:qFormat/>
    <w:rsid w:val="00ff7523"/>
    <w:rPr>
      <w:rFonts w:cs="Times New Roman"/>
    </w:rPr>
  </w:style>
  <w:style w:type="character" w:styleId="ListLabel9" w:customStyle="1">
    <w:name w:val="ListLabel 9"/>
    <w:qFormat/>
    <w:rsid w:val="00ff7523"/>
    <w:rPr>
      <w:rFonts w:cs="Times New Roman"/>
    </w:rPr>
  </w:style>
  <w:style w:type="character" w:styleId="ListLabel10" w:customStyle="1">
    <w:name w:val="ListLabel 10"/>
    <w:qFormat/>
    <w:rsid w:val="00ff7523"/>
    <w:rPr>
      <w:rFonts w:cs="Times New Roman"/>
    </w:rPr>
  </w:style>
  <w:style w:type="character" w:styleId="ListLabel11" w:customStyle="1">
    <w:name w:val="ListLabel 11"/>
    <w:qFormat/>
    <w:rsid w:val="00ff7523"/>
    <w:rPr>
      <w:rFonts w:cs="Times New Roman"/>
    </w:rPr>
  </w:style>
  <w:style w:type="character" w:styleId="ListLabel12" w:customStyle="1">
    <w:name w:val="ListLabel 12"/>
    <w:qFormat/>
    <w:rsid w:val="00ff7523"/>
    <w:rPr>
      <w:rFonts w:cs="Times New Roman"/>
    </w:rPr>
  </w:style>
  <w:style w:type="character" w:styleId="ListLabel13" w:customStyle="1">
    <w:name w:val="ListLabel 13"/>
    <w:qFormat/>
    <w:rsid w:val="00ff7523"/>
    <w:rPr>
      <w:rFonts w:cs="Times New Roman"/>
    </w:rPr>
  </w:style>
  <w:style w:type="character" w:styleId="ListLabel14" w:customStyle="1">
    <w:name w:val="ListLabel 14"/>
    <w:qFormat/>
    <w:rsid w:val="00ff7523"/>
    <w:rPr>
      <w:rFonts w:cs="Times New Roman"/>
    </w:rPr>
  </w:style>
  <w:style w:type="character" w:styleId="ListLabel15" w:customStyle="1">
    <w:name w:val="ListLabel 15"/>
    <w:qFormat/>
    <w:rsid w:val="00ff7523"/>
    <w:rPr>
      <w:rFonts w:cs="Times New Roman"/>
    </w:rPr>
  </w:style>
  <w:style w:type="character" w:styleId="ListLabel16" w:customStyle="1">
    <w:name w:val="ListLabel 16"/>
    <w:qFormat/>
    <w:rsid w:val="00ff7523"/>
    <w:rPr>
      <w:rFonts w:cs="Times New Roman"/>
    </w:rPr>
  </w:style>
  <w:style w:type="character" w:styleId="ListLabel17" w:customStyle="1">
    <w:name w:val="ListLabel 17"/>
    <w:qFormat/>
    <w:rsid w:val="00ff7523"/>
    <w:rPr>
      <w:rFonts w:cs="Times New Roman"/>
    </w:rPr>
  </w:style>
  <w:style w:type="character" w:styleId="ListLabel18" w:customStyle="1">
    <w:name w:val="ListLabel 18"/>
    <w:qFormat/>
    <w:rsid w:val="00ff7523"/>
    <w:rPr>
      <w:rFonts w:cs="Times New Roman"/>
    </w:rPr>
  </w:style>
  <w:style w:type="character" w:styleId="14" w:customStyle="1">
    <w:name w:val="Основной текст Знак1"/>
    <w:basedOn w:val="DefaultParagraphFont"/>
    <w:link w:val="ab"/>
    <w:uiPriority w:val="99"/>
    <w:qFormat/>
    <w:rsid w:val="00ff7523"/>
    <w:rPr>
      <w:rFonts w:ascii="Calibri" w:hAnsi="Calibri" w:eastAsia="Times New Roman" w:cs="Calibri"/>
      <w:color w:val="00000A"/>
      <w:lang w:eastAsia="zh-CN"/>
    </w:rPr>
  </w:style>
  <w:style w:type="character" w:styleId="Style20" w:customStyle="1">
    <w:name w:val="Название Знак"/>
    <w:basedOn w:val="DefaultParagraphFont"/>
    <w:link w:val="ad"/>
    <w:qFormat/>
    <w:rsid w:val="00ff7523"/>
    <w:rPr>
      <w:rFonts w:ascii="Calibri" w:hAnsi="Calibri" w:eastAsia="Times New Roman" w:cs="Mangal"/>
      <w:i/>
      <w:iCs/>
      <w:color w:val="00000A"/>
      <w:sz w:val="24"/>
      <w:szCs w:val="24"/>
    </w:rPr>
  </w:style>
  <w:style w:type="character" w:styleId="21" w:customStyle="1">
    <w:name w:val="Текст выноски Знак2"/>
    <w:basedOn w:val="DefaultParagraphFont"/>
    <w:link w:val="af2"/>
    <w:uiPriority w:val="99"/>
    <w:qFormat/>
    <w:rsid w:val="00ff7523"/>
    <w:rPr>
      <w:rFonts w:ascii="Tahoma" w:hAnsi="Tahoma" w:eastAsia="Times New Roman" w:cs="Times New Roman"/>
      <w:color w:val="00000A"/>
      <w:sz w:val="16"/>
      <w:szCs w:val="16"/>
    </w:rPr>
  </w:style>
  <w:style w:type="character" w:styleId="15" w:customStyle="1">
    <w:name w:val="Нижний колонтитул Знак1"/>
    <w:basedOn w:val="DefaultParagraphFont"/>
    <w:link w:val="af4"/>
    <w:uiPriority w:val="99"/>
    <w:qFormat/>
    <w:rsid w:val="00ff7523"/>
    <w:rPr>
      <w:rFonts w:ascii="Calibri" w:hAnsi="Calibri" w:eastAsia="Times New Roman" w:cs="Times New Roman"/>
      <w:color w:val="00000A"/>
    </w:rPr>
  </w:style>
  <w:style w:type="character" w:styleId="16" w:customStyle="1">
    <w:name w:val="Верхний колонтитул Знак1"/>
    <w:basedOn w:val="DefaultParagraphFont"/>
    <w:link w:val="af5"/>
    <w:uiPriority w:val="99"/>
    <w:qFormat/>
    <w:rsid w:val="00ff7523"/>
    <w:rPr>
      <w:rFonts w:ascii="Calibri" w:hAnsi="Calibri" w:eastAsia="Times New Roman" w:cs="Times New Roman"/>
      <w:color w:val="00000A"/>
    </w:rPr>
  </w:style>
  <w:style w:type="character" w:styleId="ListLabel19">
    <w:name w:val="ListLabel 19"/>
    <w:qFormat/>
    <w:rPr>
      <w:sz w:val="21"/>
      <w:szCs w:val="21"/>
      <w:lang w:val="en-US"/>
    </w:rPr>
  </w:style>
  <w:style w:type="character" w:styleId="ListLabel20">
    <w:name w:val="ListLabel 20"/>
    <w:qFormat/>
    <w:rPr>
      <w:sz w:val="21"/>
      <w:szCs w:val="21"/>
    </w:rPr>
  </w:style>
  <w:style w:type="paragraph" w:styleId="Style21" w:customStyle="1">
    <w:name w:val="Заголовок"/>
    <w:basedOn w:val="Normal"/>
    <w:next w:val="Style22"/>
    <w:uiPriority w:val="99"/>
    <w:qFormat/>
    <w:rsid w:val="00ff7523"/>
    <w:pPr>
      <w:keepNext w:val="true"/>
      <w:suppressAutoHyphens w:val="true"/>
      <w:spacing w:before="240" w:after="120"/>
    </w:pPr>
    <w:rPr>
      <w:rFonts w:ascii="Liberation Sans" w:hAnsi="Liberation Sans" w:eastAsia="Microsoft YaHei" w:cs="Arial"/>
      <w:sz w:val="28"/>
      <w:szCs w:val="28"/>
      <w:lang w:eastAsia="zh-CN"/>
    </w:rPr>
  </w:style>
  <w:style w:type="paragraph" w:styleId="Style22">
    <w:name w:val="Body Text"/>
    <w:basedOn w:val="Normal"/>
    <w:link w:val="13"/>
    <w:uiPriority w:val="99"/>
    <w:rsid w:val="00ff7523"/>
    <w:pPr>
      <w:suppressAutoHyphens w:val="true"/>
      <w:spacing w:lineRule="auto" w:line="288" w:before="0" w:after="140"/>
    </w:pPr>
    <w:rPr>
      <w:rFonts w:cs="Calibri"/>
      <w:lang w:eastAsia="zh-CN"/>
    </w:rPr>
  </w:style>
  <w:style w:type="paragraph" w:styleId="Style23">
    <w:name w:val="List"/>
    <w:basedOn w:val="Style22"/>
    <w:uiPriority w:val="99"/>
    <w:rsid w:val="00ff7523"/>
    <w:pPr/>
    <w:rPr>
      <w:rFonts w:cs="Arial"/>
    </w:rPr>
  </w:style>
  <w:style w:type="paragraph" w:styleId="Style2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5">
    <w:name w:val="Указатель"/>
    <w:basedOn w:val="Normal"/>
    <w:qFormat/>
    <w:pPr>
      <w:suppressLineNumbers/>
    </w:pPr>
    <w:rPr>
      <w:rFonts w:cs="Arial"/>
    </w:rPr>
  </w:style>
  <w:style w:type="paragraph" w:styleId="Style26">
    <w:name w:val="Title"/>
    <w:basedOn w:val="Normal"/>
    <w:link w:val="ae"/>
    <w:qFormat/>
    <w:rsid w:val="00ff752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1">
    <w:name w:val="index 1"/>
    <w:basedOn w:val="Normal"/>
    <w:autoRedefine/>
    <w:uiPriority w:val="99"/>
    <w:semiHidden/>
    <w:unhideWhenUsed/>
    <w:qFormat/>
    <w:rsid w:val="00ff7523"/>
    <w:pPr>
      <w:spacing w:lineRule="auto" w:line="240" w:before="0" w:after="0"/>
      <w:ind w:left="220" w:hanging="220"/>
    </w:pPr>
    <w:rPr/>
  </w:style>
  <w:style w:type="paragraph" w:styleId="Indexheading">
    <w:name w:val="index heading"/>
    <w:basedOn w:val="Normal"/>
    <w:qFormat/>
    <w:rsid w:val="00ff7523"/>
    <w:pPr>
      <w:suppressLineNumbers/>
    </w:pPr>
    <w:rPr>
      <w:rFonts w:cs="Mangal"/>
    </w:rPr>
  </w:style>
  <w:style w:type="paragraph" w:styleId="17" w:customStyle="1">
    <w:name w:val="Абзац списка1"/>
    <w:basedOn w:val="Normal"/>
    <w:uiPriority w:val="99"/>
    <w:qFormat/>
    <w:rsid w:val="00ff7523"/>
    <w:pPr>
      <w:spacing w:before="0" w:after="200"/>
      <w:ind w:left="720" w:hanging="0"/>
      <w:contextualSpacing/>
    </w:pPr>
    <w:rPr/>
  </w:style>
  <w:style w:type="paragraph" w:styleId="Style27" w:customStyle="1">
    <w:name w:val="Содержимое таблицы"/>
    <w:basedOn w:val="Normal"/>
    <w:uiPriority w:val="99"/>
    <w:qFormat/>
    <w:rsid w:val="00ff7523"/>
    <w:pPr>
      <w:widowControl w:val="false"/>
      <w:suppressLineNumbers/>
      <w:suppressAutoHyphens w:val="true"/>
      <w:spacing w:lineRule="auto" w:line="240" w:before="0" w:after="0"/>
    </w:pPr>
    <w:rPr>
      <w:rFonts w:ascii="Arial" w:hAnsi="Arial" w:eastAsia="Droid Sans Fallback" w:cs="DejaVu Sans Condensed"/>
      <w:sz w:val="20"/>
      <w:szCs w:val="24"/>
      <w:lang w:eastAsia="hi-IN" w:bidi="hi-IN"/>
    </w:rPr>
  </w:style>
  <w:style w:type="paragraph" w:styleId="Style28" w:customStyle="1">
    <w:name w:val="Нормальный (таблица)"/>
    <w:basedOn w:val="Normal"/>
    <w:uiPriority w:val="99"/>
    <w:qFormat/>
    <w:rsid w:val="00ff7523"/>
    <w:pPr>
      <w:widowControl w:val="false"/>
      <w:spacing w:lineRule="auto" w:line="240" w:before="0" w:after="0"/>
      <w:jc w:val="both"/>
    </w:pPr>
    <w:rPr>
      <w:rFonts w:ascii="Arial" w:hAnsi="Arial"/>
      <w:sz w:val="24"/>
      <w:szCs w:val="24"/>
      <w:lang w:eastAsia="ru-RU"/>
    </w:rPr>
  </w:style>
  <w:style w:type="paragraph" w:styleId="ConsPlusTitlePage" w:customStyle="1">
    <w:name w:val="ConsPlusTitlePage"/>
    <w:uiPriority w:val="99"/>
    <w:qFormat/>
    <w:rsid w:val="00ff7523"/>
    <w:pPr>
      <w:widowControl w:val="false"/>
      <w:bidi w:val="0"/>
      <w:spacing w:lineRule="auto" w:line="240" w:before="0" w:after="0"/>
      <w:jc w:val="left"/>
    </w:pPr>
    <w:rPr>
      <w:rFonts w:ascii="Tahoma" w:hAnsi="Tahoma" w:eastAsia="Times New Roman" w:cs="Tahoma"/>
      <w:color w:val="00000A"/>
      <w:kern w:val="0"/>
      <w:sz w:val="22"/>
      <w:szCs w:val="20"/>
      <w:lang w:eastAsia="ru-RU" w:val="ru-RU" w:bidi="ar-SA"/>
    </w:rPr>
  </w:style>
  <w:style w:type="paragraph" w:styleId="ConsPlusNormal" w:customStyle="1">
    <w:name w:val="ConsPlusNormal"/>
    <w:uiPriority w:val="99"/>
    <w:qFormat/>
    <w:rsid w:val="00ff7523"/>
    <w:pPr>
      <w:widowControl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eastAsia="ru-RU" w:val="ru-RU" w:bidi="ar-SA"/>
    </w:rPr>
  </w:style>
  <w:style w:type="paragraph" w:styleId="ConsPlusTitle" w:customStyle="1">
    <w:name w:val="ConsPlusTitle"/>
    <w:uiPriority w:val="99"/>
    <w:qFormat/>
    <w:rsid w:val="00ff7523"/>
    <w:pPr>
      <w:widowControl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/>
      <w:color w:val="00000A"/>
      <w:kern w:val="0"/>
      <w:sz w:val="24"/>
      <w:szCs w:val="20"/>
      <w:lang w:eastAsia="ru-RU" w:val="ru-RU" w:bidi="ar-SA"/>
    </w:rPr>
  </w:style>
  <w:style w:type="paragraph" w:styleId="BalloonText">
    <w:name w:val="Balloon Text"/>
    <w:basedOn w:val="Normal"/>
    <w:link w:val="20"/>
    <w:uiPriority w:val="99"/>
    <w:qFormat/>
    <w:rsid w:val="00ff7523"/>
    <w:pPr>
      <w:spacing w:lineRule="auto" w:line="240" w:before="0" w:after="0"/>
    </w:pPr>
    <w:rPr>
      <w:rFonts w:ascii="Tahoma" w:hAnsi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ff7523"/>
    <w:pPr>
      <w:ind w:left="720" w:hanging="0"/>
    </w:pPr>
    <w:rPr>
      <w:rFonts w:cs="Calibri"/>
    </w:rPr>
  </w:style>
  <w:style w:type="paragraph" w:styleId="Default" w:customStyle="1">
    <w:name w:val="Default"/>
    <w:uiPriority w:val="99"/>
    <w:qFormat/>
    <w:rsid w:val="00ff7523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eastAsia="ru-RU" w:val="ru-RU" w:bidi="ar-SA"/>
    </w:rPr>
  </w:style>
  <w:style w:type="paragraph" w:styleId="Style29">
    <w:name w:val="Footer"/>
    <w:basedOn w:val="Normal"/>
    <w:link w:val="16"/>
    <w:uiPriority w:val="99"/>
    <w:rsid w:val="00ff7523"/>
    <w:pPr>
      <w:tabs>
        <w:tab w:val="center" w:pos="4677" w:leader="none"/>
        <w:tab w:val="right" w:pos="9355" w:leader="none"/>
      </w:tabs>
    </w:pPr>
    <w:rPr/>
  </w:style>
  <w:style w:type="paragraph" w:styleId="Style30">
    <w:name w:val="Header"/>
    <w:basedOn w:val="Normal"/>
    <w:link w:val="17"/>
    <w:uiPriority w:val="99"/>
    <w:rsid w:val="00ff7523"/>
    <w:pPr>
      <w:tabs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uiPriority w:val="99"/>
    <w:qFormat/>
    <w:rsid w:val="00ff7523"/>
    <w:pPr>
      <w:spacing w:lineRule="auto" w:line="240" w:beforeAutospacing="1" w:afterAutospacing="1"/>
    </w:pPr>
    <w:rPr>
      <w:rFonts w:ascii="Times New Roman" w:hAnsi="Times New Roman"/>
      <w:sz w:val="24"/>
      <w:szCs w:val="24"/>
      <w:lang w:eastAsia="ru-RU"/>
    </w:rPr>
  </w:style>
  <w:style w:type="paragraph" w:styleId="NoSpacing">
    <w:name w:val="No Spacing"/>
    <w:uiPriority w:val="99"/>
    <w:qFormat/>
    <w:rsid w:val="00ff7523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/>
      <w:color w:val="00000A"/>
      <w:kern w:val="0"/>
      <w:sz w:val="22"/>
      <w:szCs w:val="22"/>
      <w:lang w:val="ru-RU" w:eastAsia="en-US" w:bidi="ar-SA"/>
    </w:rPr>
  </w:style>
  <w:style w:type="paragraph" w:styleId="Caption">
    <w:name w:val="caption"/>
    <w:basedOn w:val="Normal"/>
    <w:uiPriority w:val="99"/>
    <w:qFormat/>
    <w:rsid w:val="00ff7523"/>
    <w:pPr>
      <w:suppressLineNumbers/>
      <w:suppressAutoHyphens w:val="true"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styleId="31" w:customStyle="1">
    <w:name w:val="Указатель3"/>
    <w:basedOn w:val="Normal"/>
    <w:uiPriority w:val="99"/>
    <w:qFormat/>
    <w:rsid w:val="00ff7523"/>
    <w:pPr>
      <w:suppressLineNumbers/>
      <w:suppressAutoHyphens w:val="true"/>
    </w:pPr>
    <w:rPr>
      <w:rFonts w:cs="Mangal"/>
      <w:lang w:eastAsia="zh-CN"/>
    </w:rPr>
  </w:style>
  <w:style w:type="paragraph" w:styleId="22" w:customStyle="1">
    <w:name w:val="Название объекта2"/>
    <w:basedOn w:val="Normal"/>
    <w:uiPriority w:val="99"/>
    <w:qFormat/>
    <w:rsid w:val="00ff7523"/>
    <w:pPr>
      <w:suppressLineNumbers/>
      <w:suppressAutoHyphens w:val="true"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styleId="23" w:customStyle="1">
    <w:name w:val="Указатель2"/>
    <w:basedOn w:val="Normal"/>
    <w:uiPriority w:val="99"/>
    <w:qFormat/>
    <w:rsid w:val="00ff7523"/>
    <w:pPr>
      <w:suppressLineNumbers/>
      <w:suppressAutoHyphens w:val="true"/>
    </w:pPr>
    <w:rPr>
      <w:rFonts w:cs="Mangal"/>
      <w:lang w:eastAsia="zh-CN"/>
    </w:rPr>
  </w:style>
  <w:style w:type="paragraph" w:styleId="18" w:customStyle="1">
    <w:name w:val="Название объекта1"/>
    <w:basedOn w:val="Normal"/>
    <w:uiPriority w:val="99"/>
    <w:qFormat/>
    <w:rsid w:val="00ff7523"/>
    <w:pPr>
      <w:suppressLineNumbers/>
      <w:suppressAutoHyphens w:val="true"/>
      <w:spacing w:before="120" w:after="120"/>
    </w:pPr>
    <w:rPr>
      <w:rFonts w:cs="Arial"/>
      <w:i/>
      <w:iCs/>
      <w:sz w:val="24"/>
      <w:szCs w:val="24"/>
      <w:lang w:eastAsia="zh-CN"/>
    </w:rPr>
  </w:style>
  <w:style w:type="paragraph" w:styleId="19" w:customStyle="1">
    <w:name w:val="Указатель1"/>
    <w:basedOn w:val="Normal"/>
    <w:uiPriority w:val="99"/>
    <w:qFormat/>
    <w:rsid w:val="00ff7523"/>
    <w:pPr>
      <w:suppressLineNumbers/>
      <w:suppressAutoHyphens w:val="true"/>
    </w:pPr>
    <w:rPr>
      <w:rFonts w:cs="Arial"/>
      <w:lang w:eastAsia="zh-CN"/>
    </w:rPr>
  </w:style>
  <w:style w:type="paragraph" w:styleId="Style31" w:customStyle="1">
    <w:name w:val="Заголовок таблицы"/>
    <w:basedOn w:val="Style27"/>
    <w:uiPriority w:val="99"/>
    <w:qFormat/>
    <w:rsid w:val="00ff7523"/>
    <w:pPr>
      <w:jc w:val="center"/>
    </w:pPr>
    <w:rPr>
      <w:b/>
      <w:bCs/>
      <w:lang w:eastAsia="zh-CN"/>
    </w:rPr>
  </w:style>
  <w:style w:type="paragraph" w:styleId="Style32" w:customStyle="1">
    <w:name w:val="Содержимое врезки"/>
    <w:basedOn w:val="Normal"/>
    <w:uiPriority w:val="99"/>
    <w:qFormat/>
    <w:rsid w:val="00ff7523"/>
    <w:pPr>
      <w:suppressAutoHyphens w:val="true"/>
    </w:pPr>
    <w:rPr>
      <w:rFonts w:cs="Calibri"/>
      <w:lang w:eastAsia="zh-C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b">
    <w:name w:val="Table Grid"/>
    <w:basedOn w:val="a1"/>
    <w:uiPriority w:val="99"/>
    <w:rsid w:val="00ff7523"/>
    <w:rPr>
      <w:lang w:eastAsia="ru-RU"/>
      <w:sz w:val="20"/>
      <w:szCs w:val="20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zakupki.gov.ru/" TargetMode="External"/><Relationship Id="rId3" Type="http://schemas.openxmlformats.org/officeDocument/2006/relationships/hyperlink" Target="http://www.zakupki.gov.ru/" TargetMode="External"/><Relationship Id="rId4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6" Type="http://schemas.openxmlformats.org/officeDocument/2006/relationships/hyperlink" Target="http://www.zakupki.gov.ru/" TargetMode="External"/><Relationship Id="rId7" Type="http://schemas.openxmlformats.org/officeDocument/2006/relationships/hyperlink" Target="http://www.zakupki.gov.ru/" TargetMode="External"/><Relationship Id="rId8" Type="http://schemas.openxmlformats.org/officeDocument/2006/relationships/hyperlink" Target="http://www.zakupki.gov.ru/" TargetMode="Externa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Application>LibreOffice/6.0.2.1$Windows_X86_64 LibreOffice_project/f7f06a8f319e4b62f9bc5095aa112a65d2f3ac89</Application>
  <Pages>21</Pages>
  <Words>4714</Words>
  <Characters>34798</Characters>
  <CharactersWithSpaces>39257</CharactersWithSpaces>
  <Paragraphs>1103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2018-05-10T14:13:00Z</dcterms:created>
  <dc:creator>Ермакова</dc:creator>
  <dc:description/>
  <dc:language>ru-RU</dc:language>
  <cp:lastModifiedBy/>
  <cp:lastPrinted>2018-05-04T12:32:00Z</cp:lastPrinted>
  <dcterms:modified xsi:type="dcterms:W3CDTF">2018-05-11T17:11:17Z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