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031" w:rsidRDefault="00416031" w:rsidP="00560255">
      <w:pPr>
        <w:pStyle w:val="af5"/>
        <w:jc w:val="center"/>
        <w:rPr>
          <w:b/>
          <w:bCs/>
          <w:noProof/>
          <w:color w:val="000000"/>
          <w:sz w:val="21"/>
          <w:szCs w:val="21"/>
        </w:rPr>
      </w:pPr>
    </w:p>
    <w:p w:rsidR="00416031" w:rsidRDefault="00416031" w:rsidP="00416031">
      <w:pPr>
        <w:tabs>
          <w:tab w:val="left" w:pos="9060"/>
        </w:tabs>
        <w:rPr>
          <w:sz w:val="56"/>
          <w:szCs w:val="56"/>
        </w:rPr>
      </w:pPr>
      <w:r>
        <w:rPr>
          <w:b/>
          <w:sz w:val="56"/>
          <w:szCs w:val="56"/>
        </w:rPr>
        <w:t xml:space="preserve">    «САЛАЗГОРЬСКИЕ ВЕСТИ</w:t>
      </w:r>
      <w:r>
        <w:rPr>
          <w:sz w:val="56"/>
          <w:szCs w:val="56"/>
        </w:rPr>
        <w:t>»</w:t>
      </w:r>
      <w:r>
        <w:rPr>
          <w:sz w:val="56"/>
          <w:szCs w:val="56"/>
        </w:rPr>
        <w:tab/>
      </w:r>
    </w:p>
    <w:p w:rsidR="00416031" w:rsidRDefault="00416031" w:rsidP="0041603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416031" w:rsidRDefault="00416031" w:rsidP="00416031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</w:t>
      </w:r>
      <w:r>
        <w:rPr>
          <w:b/>
          <w:sz w:val="18"/>
          <w:szCs w:val="18"/>
        </w:rPr>
        <w:t xml:space="preserve">           19 июн</w:t>
      </w:r>
      <w:bookmarkStart w:id="0" w:name="_GoBack"/>
      <w:bookmarkEnd w:id="0"/>
      <w:r>
        <w:rPr>
          <w:b/>
          <w:sz w:val="18"/>
          <w:szCs w:val="18"/>
        </w:rPr>
        <w:t>я  2019 г. № 12</w:t>
      </w:r>
    </w:p>
    <w:p w:rsidR="00416031" w:rsidRDefault="00416031" w:rsidP="00416031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Салазгорьского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</w:t>
      </w:r>
    </w:p>
    <w:p w:rsidR="00416031" w:rsidRDefault="00416031" w:rsidP="00416031">
      <w:pPr>
        <w:rPr>
          <w:b/>
          <w:sz w:val="18"/>
          <w:szCs w:val="18"/>
        </w:rPr>
      </w:pPr>
    </w:p>
    <w:p w:rsidR="00416031" w:rsidRDefault="00416031" w:rsidP="00416031">
      <w:pPr>
        <w:rPr>
          <w:b/>
          <w:sz w:val="18"/>
          <w:szCs w:val="18"/>
        </w:rPr>
      </w:pPr>
    </w:p>
    <w:p w:rsidR="00416031" w:rsidRDefault="00416031" w:rsidP="00416031">
      <w:pPr>
        <w:rPr>
          <w:b/>
          <w:sz w:val="18"/>
          <w:szCs w:val="18"/>
        </w:rPr>
      </w:pPr>
    </w:p>
    <w:p w:rsidR="00416031" w:rsidRPr="00416031" w:rsidRDefault="00416031" w:rsidP="00416031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</w:t>
      </w:r>
    </w:p>
    <w:p w:rsidR="00416031" w:rsidRDefault="00416031" w:rsidP="00560255">
      <w:pPr>
        <w:pStyle w:val="af5"/>
        <w:jc w:val="center"/>
        <w:rPr>
          <w:b/>
          <w:bCs/>
          <w:noProof/>
          <w:color w:val="000000"/>
          <w:sz w:val="21"/>
          <w:szCs w:val="21"/>
        </w:rPr>
      </w:pPr>
    </w:p>
    <w:p w:rsidR="00560255" w:rsidRDefault="00560255" w:rsidP="00560255">
      <w:pPr>
        <w:pStyle w:val="af5"/>
        <w:jc w:val="center"/>
        <w:rPr>
          <w:b/>
          <w:bCs/>
          <w:noProof/>
          <w:color w:val="000000"/>
          <w:sz w:val="21"/>
          <w:szCs w:val="21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13335" b="19050"/>
            <wp:wrapSquare wrapText="bothSides"/>
            <wp:docPr id="1" name="Рисунок 1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000000"/>
          <w:sz w:val="21"/>
          <w:szCs w:val="21"/>
        </w:rPr>
        <w:t>«Теневая» инкассация заехала в автосалоны</w:t>
      </w:r>
    </w:p>
    <w:p w:rsidR="00416031" w:rsidRDefault="00416031" w:rsidP="00560255">
      <w:pPr>
        <w:pStyle w:val="af5"/>
        <w:jc w:val="center"/>
        <w:rPr>
          <w:rFonts w:ascii="pt sans" w:hAnsi="pt sans"/>
          <w:color w:val="000000"/>
          <w:sz w:val="21"/>
          <w:szCs w:val="21"/>
        </w:rPr>
      </w:pP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>В последнее время участились грубые нарушения прав граждан при использовании хозяйствующими субъектами схем так называемой «теневой инкассации». </w:t>
      </w: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>Учитывая, что их реализация влечет для населения негативные последствия, необходимо довести до сведения жителей района, что существует несколько схем незаконного получения выручки с участием торгово-розничных предприятий, наиболее распространенные из которых связаны с участием автосалонов. </w:t>
      </w: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>1. Фирмы-«однодневки» – контрагенты автосалонов - осуществляют оплату безналичным путем (частично или полностью) транспортных средств, приобретаемых физическими лицами. В качестве основания для этого может быть представлена, например, задолженность коммерческой структуры перед гражданином – приобретателем автомобиля. Данные действия реализуются автосалоном либо скрытно от клиентов, без раскрытия сведений об участии в сделке третьего лица, либо явно - с документальным уведомляем покупателя транспортного средства о данном порядке расчетов и получением необходимых подписей на всех документах, в том числе с фирмой-«однодневкой». В целях формирования у гражданина желания приобрести транспортное средство подобным образом автосалоны предоставляют скидки на автомобиль или на его комплектующие либо - услуги, которые могут заинтересовать покупателя (бесплатное постгарантийное обслуживание, предоставление бесплатных дополнительных опций и т.д.). </w:t>
      </w: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>В результате договор купли-продажи заключается между физическим лицом и фирмой-«однодневкой», а не автосалоном. Покупатель автомобиля вносит наличные денежные средства в ее кассу, что фиксируется соответствующим документом, но без выдачи кассового чека. Вместе с тем данные финансовые ресурсы не учитываются в бухгалтерских документах фирмы-«однодневки», кассовый аппарат отсутствует, выручка на ее счет не поступает. Внесенные гражданином денежные средства изымаются из кассы автосалона так называемыми «черными» инкассаторами и вывозятся для распределения между заказчиками обналичивания. </w:t>
      </w: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>Согласно законодательства Российской Федерации ответственность за указанные противоправные действия предусмотрена ст. 172 Уголовного кодекса Российской Федерации  («Незаконная банковская деятельность») и ст. 15.1 Кодекса об административных правонарушениях Российской Федерации  («Нарушение порядка работы с денежной наличностью и порядка ведения кассовых операций»).</w:t>
      </w: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>При этом в подобных обстоятельствах добросовестный приобретатель, не имея кассового чека, лишается возможности доказать произведенную оплату автомобиля. Также при возникновении споров, связанных с владением и эксплуатацией транспортного средства, гражданин не может реализовать свои права и гарантии, предусмотренные Законом РФ «О защите прав потребителей».</w:t>
      </w: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>Также, в силу требований ст. 211 Налогового кодекса РФ у покупателя в данном случае возникает обязанность произвести уплату налога на доход физических лиц в размере 13% от стоимости приобретенного автомобиля. </w:t>
      </w: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lastRenderedPageBreak/>
        <w:t>Наиболее действенным способом обезопасить себя от указанных крайне неблагоприятных последствий является расчет в безналичной форме.</w:t>
      </w: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 xml:space="preserve">2. </w:t>
      </w:r>
      <w:proofErr w:type="gramStart"/>
      <w:r>
        <w:rPr>
          <w:bCs/>
          <w:noProof/>
          <w:color w:val="000000"/>
          <w:sz w:val="21"/>
          <w:szCs w:val="21"/>
        </w:rPr>
        <w:t>С участием торгово-розничных сетей, в которой безналичные платежи от "фирм-однодневок" (эквивалент продаваемой наличной торговой выручки) осуществляются по фиктивным основаниям с целью уклонения от реализации мер внутреннего "противолегализационного" контроля, предусмотренного Федеральным законом от 7.08.2001 N 115-ФЗ "О противодействии легализации (отмыванию) доходов, полученных преступным путем, и финансированию терроризма".</w:t>
      </w:r>
      <w:proofErr w:type="gramEnd"/>
      <w:r>
        <w:rPr>
          <w:bCs/>
          <w:noProof/>
          <w:color w:val="000000"/>
          <w:sz w:val="21"/>
          <w:szCs w:val="21"/>
        </w:rPr>
        <w:t xml:space="preserve"> Так, в назначениях платежей от контрагентов - "фирм-однодневок" проставляется оплата за продукты (питания, табачные изделия, ТНП и т.д.) с выделением НДС. На самом деле никаких отгрузок и поставок продуктов в адрес "фирм-однодневок" в реальности не производится. Между торгово-розничной компанией и "фирмой-однодневкой" якобы существует договоренность (иногда закрепленная перепиской) о том, что в платежках намеренно проставляется фиктивное назначение с выделением НДС с целью недопущения приостановления банками финансовых операций по Федеральному закону от 7.08.2001 N 115-ФЗ. На самом деле платеж осуществляется по агентскому договору или по договору комиссии, содержание которого включает в себя изъятие наличной выручки из розничной торговой точки, пересчет, проверку на подлинность и якобы инкассацию в банк, обслуживающий "фирмы-однодневки". Вместе с тем денежные средства не транспортируются в банк и не инкассируются на счет контрагента, а вывозятся в неизвестном направлении для последующего распределения и передачи заказчикам обналичивания за вычетом комиссии. </w:t>
      </w: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 xml:space="preserve">3. С участием торгово-розничных сетей, в которой "фирма-однодневка" передает векселя кредитных организаций торговому предприятию. Предварительно данные векселя приобретаются за безналичный расчет на денежные средства, аккумулируемые на счета "фирмы-однодневки". Оплата данных векселей торговым предприятием осуществляется за счет денежных средств из кассы путем фиктивной инкассации через фиктивный ЧОП (является "фирмой-однодневкой") в адрес кредитной организации, обслуживающей счет "фирмы-однодневки", для зачисления на счет данной фирмы. В действительности, наличные денежные средства в банк, обслуживающий счет "фирмы-однодневки" не поступают, а вывозятся в неизвестном направлении для последующего распределения между заказчиками обналичивания. </w:t>
      </w: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 xml:space="preserve">4. Руководители "фирм-однодневок", со счетов которых в автосалон зачисляется эквивалент проданной наличной выручки, заключают от своего имени предварительные договоры купли-продажи автомобилей с данными автосалонами. Затем со счетов "технических" организаций производятся перечисления денежных средств на счета автосалонов по данным договорам. В дальнейшем, между автосалонами и руководителями "технических" организаций заключаются соглашения о расторжении договоров купли-продажи автомобиля. Через непродолжительный период времени якобы осуществляется возврат денежных средств через кассу автосалона наличными денежными средствами руководителю "фирмы-однодневки". </w:t>
      </w: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Cs/>
          <w:noProof/>
          <w:color w:val="000000"/>
          <w:sz w:val="21"/>
          <w:szCs w:val="21"/>
        </w:rPr>
      </w:pPr>
      <w:r>
        <w:rPr>
          <w:bCs/>
          <w:noProof/>
          <w:color w:val="000000"/>
          <w:sz w:val="21"/>
          <w:szCs w:val="21"/>
        </w:rPr>
        <w:t>5. "Фирмы-однодневки" заключают с подставными физическими лицами договоры на предоставление займов. Реально займы физическим лицам не выдаются, денежные средства на их счета не перечисляются. Вместе с тем данные фиктивные организации перечисляют денежные средства в автосалоны по договорам купли-продажи автомобилей за физических лиц в сумме, указанной в договоре займа. Транспортные средства на физических лиц не регистрируются, договоры купли-продажи автомобилей расторгаются, денежные средства возвращаются наличными из кассы автомобиля. 6. Схема "теневой" инкассации через автосалоны, в которых "фирмы-однодневки" заключают договора поставки автозапчастей с автосалонами или договора займов на срок до 3-х месяцев. В дальнейшем, между автосалоном и организациями заключаются соглашения о расторжении договоров купли-продажи запчастей. Денежные средства на расчетные счета организаций не поступают, а выдаются наличными из кассы автосалона в виде возврата по договору поставки автозапчастей.</w:t>
      </w: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416031" w:rsidTr="00B46A96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16031" w:rsidRDefault="00416031" w:rsidP="00B46A96">
            <w:pPr>
              <w:snapToGrid w:val="0"/>
              <w:jc w:val="both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416031" w:rsidRDefault="00416031" w:rsidP="00B46A96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416031" w:rsidRDefault="00416031" w:rsidP="00B46A96">
            <w:pPr>
              <w:snapToGrid w:val="0"/>
              <w:spacing w:after="200" w:line="276" w:lineRule="auto"/>
              <w:jc w:val="both"/>
              <w:rPr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16031" w:rsidRDefault="00416031" w:rsidP="00B46A96">
            <w:pPr>
              <w:snapToGrid w:val="0"/>
              <w:jc w:val="both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416031" w:rsidRDefault="00416031" w:rsidP="00B46A96">
            <w:pPr>
              <w:snapToGrid w:val="0"/>
              <w:spacing w:after="200" w:line="276" w:lineRule="auto"/>
              <w:jc w:val="both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6031" w:rsidRDefault="00416031" w:rsidP="00B46A96">
            <w:pPr>
              <w:snapToGrid w:val="0"/>
              <w:jc w:val="both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416031" w:rsidRDefault="00416031" w:rsidP="00B46A96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431045 РМ Торбеевский район с</w:t>
            </w:r>
            <w:proofErr w:type="gramStart"/>
            <w:r>
              <w:rPr>
                <w:sz w:val="18"/>
                <w:szCs w:val="18"/>
                <w:lang w:eastAsia="en-US"/>
              </w:rPr>
              <w:t>.С</w:t>
            </w:r>
            <w:proofErr w:type="gramEnd"/>
            <w:r>
              <w:rPr>
                <w:sz w:val="18"/>
                <w:szCs w:val="18"/>
                <w:lang w:eastAsia="en-US"/>
              </w:rPr>
              <w:t>алазгорь,.Кооперативная, д.7</w:t>
            </w:r>
          </w:p>
          <w:p w:rsidR="00416031" w:rsidRDefault="00416031" w:rsidP="00B46A96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416031" w:rsidRDefault="00416031" w:rsidP="00B46A96">
            <w:pPr>
              <w:snapToGrid w:val="0"/>
              <w:spacing w:after="200" w:line="276" w:lineRule="auto"/>
              <w:jc w:val="both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p w:rsidR="00560255" w:rsidRDefault="00560255" w:rsidP="00560255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1BE"/>
    <w:rsid w:val="002E4E42"/>
    <w:rsid w:val="003933CF"/>
    <w:rsid w:val="00413D5D"/>
    <w:rsid w:val="00416031"/>
    <w:rsid w:val="00560255"/>
    <w:rsid w:val="00A251BE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9AD"/>
    <w:pPr>
      <w:widowControl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56025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msonormalmailrucssattributepostfix">
    <w:name w:val="msonormal_mailru_css_attribute_postfix"/>
    <w:basedOn w:val="a"/>
    <w:rsid w:val="004160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9AD"/>
    <w:pPr>
      <w:widowControl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semiHidden/>
    <w:unhideWhenUsed/>
    <w:rsid w:val="0056025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msonormalmailrucssattributepostfix">
    <w:name w:val="msonormal_mailru_css_attribute_postfix"/>
    <w:basedOn w:val="a"/>
    <w:rsid w:val="004160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8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1182</Words>
  <Characters>6740</Characters>
  <Application>Microsoft Office Word</Application>
  <DocSecurity>0</DocSecurity>
  <Lines>56</Lines>
  <Paragraphs>15</Paragraphs>
  <ScaleCrop>false</ScaleCrop>
  <Company/>
  <LinksUpToDate>false</LinksUpToDate>
  <CharactersWithSpaces>7907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2019-06-19T11:22:00Z</dcterms:created>
  <dcterms:modified xsi:type="dcterms:W3CDTF">2019-06-19T11:26:00Z</dcterms:modified>
</cp:coreProperties>
</file>