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АДМИНИСТРАЦИЯ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ТОРБЕЕВСКОГО МУНИЦИПАЛЬНОГО РАЙОНА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РЕСПУБЛИКИ МОРДОВИЯ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tbl>
      <w:tblPr>
        <w:tblStyle w:val="a5"/>
        <w:tblW w:w="9900" w:type="dxa"/>
        <w:jc w:val="center"/>
        <w:tblInd w:w="0" w:type="dxa"/>
        <w:tblLayout w:type="fixed"/>
        <w:tblLook w:val="0600"/>
      </w:tblPr>
      <w:tblGrid>
        <w:gridCol w:w="4020"/>
        <w:gridCol w:w="2205"/>
        <w:gridCol w:w="3675"/>
      </w:tblGrid>
      <w:tr w:rsidR="005A2274">
        <w:trPr>
          <w:jc w:val="center"/>
        </w:trPr>
        <w:tc>
          <w:tcPr>
            <w:tcW w:w="4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AD21C1" w:rsidP="008618A3"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618A3">
              <w:rPr>
                <w:sz w:val="28"/>
                <w:szCs w:val="28"/>
              </w:rPr>
              <w:t>08</w:t>
            </w:r>
            <w:r>
              <w:rPr>
                <w:sz w:val="28"/>
                <w:szCs w:val="28"/>
              </w:rPr>
              <w:t xml:space="preserve">» </w:t>
            </w:r>
            <w:r w:rsidR="008618A3">
              <w:rPr>
                <w:sz w:val="28"/>
                <w:szCs w:val="28"/>
              </w:rPr>
              <w:t xml:space="preserve"> ноября   2017</w:t>
            </w:r>
            <w:r>
              <w:rPr>
                <w:sz w:val="28"/>
                <w:szCs w:val="28"/>
              </w:rPr>
              <w:t xml:space="preserve"> г</w:t>
            </w:r>
            <w:r w:rsidR="008618A3">
              <w:rPr>
                <w:sz w:val="28"/>
                <w:szCs w:val="28"/>
              </w:rPr>
              <w:t>.</w:t>
            </w:r>
          </w:p>
        </w:tc>
        <w:tc>
          <w:tcPr>
            <w:tcW w:w="22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AD21C1">
            <w:pPr>
              <w:pStyle w:val="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рп</w:t>
            </w:r>
            <w:proofErr w:type="spellEnd"/>
            <w:r>
              <w:rPr>
                <w:sz w:val="28"/>
                <w:szCs w:val="28"/>
              </w:rPr>
              <w:t>. Торбеево</w:t>
            </w:r>
          </w:p>
        </w:tc>
        <w:tc>
          <w:tcPr>
            <w:tcW w:w="36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AD21C1" w:rsidP="008618A3"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8618A3">
              <w:rPr>
                <w:sz w:val="28"/>
                <w:szCs w:val="28"/>
              </w:rPr>
              <w:t>702</w:t>
            </w:r>
          </w:p>
        </w:tc>
      </w:tr>
    </w:tbl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постановление администрация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№939-а от 20.04.2014 г. «Об утверждении муниципальной программы «Формирование информационного общества в </w:t>
      </w:r>
      <w:proofErr w:type="spellStart"/>
      <w:r>
        <w:rPr>
          <w:color w:val="000000"/>
          <w:sz w:val="28"/>
          <w:szCs w:val="28"/>
        </w:rPr>
        <w:t>Торбеевском</w:t>
      </w:r>
      <w:proofErr w:type="spellEnd"/>
      <w:r>
        <w:rPr>
          <w:color w:val="000000"/>
          <w:sz w:val="28"/>
          <w:szCs w:val="28"/>
        </w:rPr>
        <w:t xml:space="preserve"> муниципальном районе в период до 2018 года»»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корректировки объема финансирования муниципальной программы «Формирование информационного общества в </w:t>
      </w:r>
      <w:proofErr w:type="spellStart"/>
      <w:r>
        <w:rPr>
          <w:color w:val="000000"/>
          <w:sz w:val="28"/>
          <w:szCs w:val="28"/>
        </w:rPr>
        <w:t>Торбеевском</w:t>
      </w:r>
      <w:proofErr w:type="spellEnd"/>
      <w:r>
        <w:rPr>
          <w:color w:val="000000"/>
          <w:sz w:val="28"/>
          <w:szCs w:val="28"/>
        </w:rPr>
        <w:t xml:space="preserve"> муниципальном районе в период до 2018 года» и достижения целей, поставленных правительством Российской Федерации в постановлении № 313 от 15 апреля 2014 года администрация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ПОСТАНОВЛЯЕТ: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В </w:t>
      </w:r>
      <w:hyperlink r:id="rId5">
        <w:r>
          <w:rPr>
            <w:color w:val="000000"/>
            <w:sz w:val="28"/>
            <w:szCs w:val="28"/>
          </w:rPr>
          <w:t>наименовании</w:t>
        </w:r>
      </w:hyperlink>
      <w:r>
        <w:rPr>
          <w:color w:val="000000"/>
          <w:sz w:val="28"/>
          <w:szCs w:val="28"/>
        </w:rPr>
        <w:t xml:space="preserve"> постановления администрация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№939-а от 20.04.2014 г. «Об утверждении муниципальной программы «Формирование информационного общества в </w:t>
      </w:r>
      <w:proofErr w:type="spellStart"/>
      <w:r>
        <w:rPr>
          <w:color w:val="000000"/>
          <w:sz w:val="28"/>
          <w:szCs w:val="28"/>
        </w:rPr>
        <w:t>Торбеевском</w:t>
      </w:r>
      <w:proofErr w:type="spellEnd"/>
      <w:r>
        <w:rPr>
          <w:color w:val="000000"/>
          <w:sz w:val="28"/>
          <w:szCs w:val="28"/>
        </w:rPr>
        <w:t xml:space="preserve"> муниципальном районе в период до 2018 года»» цифру "2018" заменить соответственно на цифру "2020".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По тексту постановления администрация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№ 939-а от 20.04.2014 г. в </w:t>
      </w:r>
      <w:hyperlink r:id="rId6">
        <w:r>
          <w:rPr>
            <w:color w:val="000000"/>
            <w:sz w:val="28"/>
            <w:szCs w:val="28"/>
          </w:rPr>
          <w:t>пункте 1</w:t>
        </w:r>
      </w:hyperlink>
      <w:r>
        <w:rPr>
          <w:color w:val="000000"/>
          <w:sz w:val="28"/>
          <w:szCs w:val="28"/>
        </w:rPr>
        <w:t xml:space="preserve"> цифру "2018" заменить соответственно на цифру "2020".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Продлить срок действия муниципальной целевой программы «Формирование информационного общества в </w:t>
      </w:r>
      <w:proofErr w:type="spellStart"/>
      <w:r>
        <w:rPr>
          <w:color w:val="000000"/>
          <w:sz w:val="28"/>
          <w:szCs w:val="28"/>
        </w:rPr>
        <w:t>Торбеевском</w:t>
      </w:r>
      <w:proofErr w:type="spellEnd"/>
      <w:r>
        <w:rPr>
          <w:color w:val="000000"/>
          <w:sz w:val="28"/>
          <w:szCs w:val="28"/>
        </w:rPr>
        <w:t xml:space="preserve"> муниципальном районе в период до 2018 года», утвержденную постановлением №939-а от 20.04.2014 г., изложив ее в новой редакции, </w:t>
      </w:r>
      <w:proofErr w:type="gramStart"/>
      <w:r>
        <w:rPr>
          <w:color w:val="000000"/>
          <w:sz w:val="28"/>
          <w:szCs w:val="28"/>
        </w:rPr>
        <w:t>согласно приложения</w:t>
      </w:r>
      <w:proofErr w:type="gramEnd"/>
      <w:r>
        <w:rPr>
          <w:color w:val="000000"/>
          <w:sz w:val="28"/>
          <w:szCs w:val="28"/>
        </w:rPr>
        <w:t xml:space="preserve"> №1.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</w:t>
      </w:r>
      <w:proofErr w:type="spellStart"/>
      <w:r>
        <w:rPr>
          <w:color w:val="000000"/>
          <w:sz w:val="28"/>
          <w:szCs w:val="28"/>
        </w:rPr>
        <w:t>Игонькина</w:t>
      </w:r>
      <w:proofErr w:type="spellEnd"/>
      <w:r>
        <w:rPr>
          <w:color w:val="000000"/>
          <w:sz w:val="28"/>
          <w:szCs w:val="28"/>
        </w:rPr>
        <w:t xml:space="preserve"> Е.Ю.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tbl>
      <w:tblPr>
        <w:tblStyle w:val="a6"/>
        <w:tblW w:w="9870" w:type="dxa"/>
        <w:tblInd w:w="0" w:type="dxa"/>
        <w:tblLayout w:type="fixed"/>
        <w:tblLook w:val="0600"/>
      </w:tblPr>
      <w:tblGrid>
        <w:gridCol w:w="5040"/>
        <w:gridCol w:w="4830"/>
      </w:tblGrid>
      <w:tr w:rsidR="005A2274">
        <w:tc>
          <w:tcPr>
            <w:tcW w:w="50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И.о. Главы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4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8"/>
                <w:szCs w:val="28"/>
              </w:rPr>
            </w:pPr>
          </w:p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Солдаткин М.Я.</w:t>
            </w:r>
          </w:p>
        </w:tc>
      </w:tr>
    </w:tbl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</w:rPr>
      </w:pPr>
    </w:p>
    <w:p w:rsidR="005A2274" w:rsidRDefault="005A227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8"/>
          <w:szCs w:val="28"/>
        </w:rPr>
      </w:pPr>
    </w:p>
    <w:tbl>
      <w:tblPr>
        <w:tblStyle w:val="a7"/>
        <w:tblW w:w="9870" w:type="dxa"/>
        <w:tblInd w:w="0" w:type="dxa"/>
        <w:tblLayout w:type="fixed"/>
        <w:tblLook w:val="0000"/>
      </w:tblPr>
      <w:tblGrid>
        <w:gridCol w:w="5745"/>
        <w:gridCol w:w="4125"/>
      </w:tblGrid>
      <w:tr w:rsidR="005A2274">
        <w:tc>
          <w:tcPr>
            <w:tcW w:w="57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</w:tc>
        <w:tc>
          <w:tcPr>
            <w:tcW w:w="4125" w:type="dxa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Приложение 1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 постановлению администрации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муниципального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района № ______  от ___.____.2017 г.</w:t>
            </w:r>
          </w:p>
        </w:tc>
      </w:tr>
    </w:tbl>
    <w:p w:rsidR="005A2274" w:rsidRDefault="005A227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МУНИЦИПАЛЬНАЯ ЦЕЛЕВАЯ ПРОГРАММА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«Формирование информационного общества в </w:t>
      </w:r>
      <w:proofErr w:type="spellStart"/>
      <w:r>
        <w:rPr>
          <w:b/>
          <w:color w:val="000000"/>
          <w:sz w:val="26"/>
          <w:szCs w:val="26"/>
        </w:rPr>
        <w:t>Торбеевском</w:t>
      </w:r>
      <w:proofErr w:type="spellEnd"/>
      <w:r>
        <w:rPr>
          <w:b/>
          <w:color w:val="000000"/>
          <w:sz w:val="26"/>
          <w:szCs w:val="26"/>
        </w:rPr>
        <w:t xml:space="preserve"> муниципальном районе в период до 2020 года»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I. Паспорт Программы</w:t>
      </w:r>
    </w:p>
    <w:tbl>
      <w:tblPr>
        <w:tblStyle w:val="a8"/>
        <w:tblW w:w="10156" w:type="dxa"/>
        <w:tblInd w:w="0" w:type="dxa"/>
        <w:tblLayout w:type="fixed"/>
        <w:tblLook w:val="0000"/>
      </w:tblPr>
      <w:tblGrid>
        <w:gridCol w:w="2628"/>
        <w:gridCol w:w="7528"/>
      </w:tblGrid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Наименование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Муниципальная целевая программа «Формирование информационного общества в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Торбеевском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муниципальном районе в период до 2020 года</w:t>
            </w: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Основание для разработки Программы</w:t>
            </w: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Конституция Российской Федерации </w:t>
            </w:r>
          </w:p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Федеральный закон от 06.10.2003 N 131-ФЗ "Об общих принципах организации местного самоуправления".</w:t>
            </w:r>
          </w:p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Федеральный закон от 09.02.2009 N 8-ФЗ "Об обеспечении доступа к информации о деятельности государственных органов и органов местного самоуправления". </w:t>
            </w:r>
          </w:p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Федеральный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 от 27.07.2006 N 152-ФЗ "О персональных данных". </w:t>
            </w:r>
          </w:p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Федеральный закон от 27.07.2010 N 210-ФЗ "Об организации предоставления государственных и муниципальных услуг". </w:t>
            </w:r>
          </w:p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Федеральный закон от 27.07.2006 №149-ФЗ «Об информации, информационных технологиях и о защите информации»</w:t>
            </w:r>
          </w:p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Закон Российской Федерации от 27.12.1991 №2124-1 «О средствах массовой информации»</w:t>
            </w:r>
          </w:p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Правительства Российской Федерации от 15.06.2009 N 478 "О единой системе информационно-справочной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информационно-телекоммуникационной сети Интернет".</w:t>
            </w:r>
          </w:p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Правительства Российской Федерации от 17.12.2009 N 1993-р "Об утверждении сводного перечня первоочередных государственных и муниципальных услуг, предоставляемых в электронном виде". </w:t>
            </w:r>
          </w:p>
          <w:p w:rsidR="005A2274" w:rsidRDefault="00AD21C1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5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Республиканская целевая программа «Формирование информационного общества в Республике Мордовия в период до 2018 года (утвержденная Постановлением Правительством Республики Мордовия от 23.09.2013 г. № 421)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Заказчик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Разработчик проекта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муниципального района Республики Мордовия: отдел информатизации; правовое управление; управление финансов.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Исполнители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Структурные подразделения администрации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муниципального района, муниципальные предприятия и учреждения, а также иные исполнители в соответствии с законодательством.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Цели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1. Получение гражданами и организациями преимуществ от применения информационных и телекоммуникационных технологий за счет обеспечения доступа к информационным ресурсам, развития цифрового </w:t>
            </w:r>
            <w:proofErr w:type="spellStart"/>
            <w:r>
              <w:rPr>
                <w:color w:val="000000"/>
                <w:sz w:val="26"/>
                <w:szCs w:val="26"/>
              </w:rPr>
              <w:t>контента</w:t>
            </w:r>
            <w:proofErr w:type="spellEnd"/>
            <w:r>
              <w:rPr>
                <w:color w:val="000000"/>
                <w:sz w:val="26"/>
                <w:szCs w:val="26"/>
              </w:rPr>
              <w:t>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2. Совершенствование системы муниципального управления в   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Торбеевском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районе    на    основе     использования информационных и телекоммуникационных технологий. 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Задачи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1.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2. Совершенствование системы государственных гарантий конституционных прав человека и гражданина в информационной сфере.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3. Повышение эффективности местного    самоуправления,    взаимодействия    гражданского общества  и   бизнеса  с   органами   местного самоуправления, качества и оперативности предоставления муниципальных услуг.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4. Переориентация приоритетов применения информационно-коммуникационных технологий с достижения количественных показателей уровня информатизации на достижение социально-экономических эффектов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5. Повышение уровня использования населением информационных технологий.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  Повышение квалификации сотрудников органов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  в   сфере  использования информационных   и телекоммуникационных технологий.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7. Противодействие        использованию       на       территории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  потенциала   информационных   и телекоммуникационных     технологий     в     целях  несанкционированного доступа к муниципальным информационным системам.</w:t>
            </w:r>
            <w:r>
              <w:rPr>
                <w:color w:val="000000"/>
              </w:rPr>
              <w:t xml:space="preserve">    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Целевые индикаторы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 Удовлетворенность населения качеством и удобством предоставления муниципальных услуг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2. Обеспеченность компьютерной и организационной техникой сотрудников органов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3. Уровень ежегодного обновления парка компьютерной и организационной техники в органах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района. 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4. Доля  муниципальных органов и подведомственных организаций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района, подключенных  к  единой,   </w:t>
            </w:r>
            <w:r>
              <w:rPr>
                <w:color w:val="000000"/>
                <w:sz w:val="26"/>
                <w:szCs w:val="26"/>
              </w:rPr>
              <w:lastRenderedPageBreak/>
              <w:t xml:space="preserve">высокоскоростной,   защищенной телекоммуникационной сети.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5.  Доля   электронного   документооборота  в общем объеме документооборота органов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района.  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6. Доля   электронного   документооборота   между   органами местного самоуправления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и органами государственной  власти  Республики  Мордовия в  общем объеме документооборота.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329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7. Доля электронных запросов к федеральным органам власти в общем объеме запросов.</w:t>
            </w: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lastRenderedPageBreak/>
              <w:t>Сроки и этапы реализации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4" w:firstLine="315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Срок реализации Программы: 2017 - 2020 годы. Отдельные этапы реализации Программы не выделяются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Объемы и источники финансирования Программы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4" w:firstLine="31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Источниками сре</w:t>
            </w:r>
            <w:proofErr w:type="gramStart"/>
            <w:r>
              <w:rPr>
                <w:color w:val="000000"/>
                <w:sz w:val="26"/>
                <w:szCs w:val="26"/>
              </w:rPr>
              <w:t>дств дл</w:t>
            </w:r>
            <w:proofErr w:type="gramEnd"/>
            <w:r>
              <w:rPr>
                <w:color w:val="000000"/>
                <w:sz w:val="26"/>
                <w:szCs w:val="26"/>
              </w:rPr>
              <w:t>я реализации Программы являются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9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средства бюджета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и средства бюджета Республики Мордовия на условиях </w:t>
            </w:r>
            <w:proofErr w:type="spellStart"/>
            <w:r>
              <w:rPr>
                <w:color w:val="000000"/>
                <w:sz w:val="26"/>
                <w:szCs w:val="26"/>
              </w:rPr>
              <w:t>софинансирования</w:t>
            </w:r>
            <w:proofErr w:type="spellEnd"/>
            <w:proofErr w:type="gramStart"/>
            <w:r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0" w:firstLine="31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Для выполнения мероприятий Программы могут привлекаться другие источники  финансирования в соответствии с законодательством.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4" w:firstLine="31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Общий объем финансирования Программы за счет средств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4" w:firstLine="315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бюджета  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составляет   1766  тыс. рублей, в том числе: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67"/>
              <w:rPr>
                <w:color w:val="000000"/>
              </w:rPr>
            </w:pPr>
          </w:p>
          <w:tbl>
            <w:tblPr>
              <w:tblStyle w:val="a9"/>
              <w:tblW w:w="7303" w:type="dxa"/>
              <w:tblInd w:w="0" w:type="dxa"/>
              <w:tblLayout w:type="fixed"/>
              <w:tblLook w:val="0000"/>
            </w:tblPr>
            <w:tblGrid>
              <w:gridCol w:w="1033"/>
              <w:gridCol w:w="855"/>
              <w:gridCol w:w="975"/>
              <w:gridCol w:w="990"/>
              <w:gridCol w:w="1125"/>
              <w:gridCol w:w="2325"/>
            </w:tblGrid>
            <w:tr w:rsidR="005A2274">
              <w:trPr>
                <w:trHeight w:val="260"/>
              </w:trPr>
              <w:tc>
                <w:tcPr>
                  <w:tcW w:w="1033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Источник финансирования</w:t>
                  </w:r>
                </w:p>
              </w:tc>
              <w:tc>
                <w:tcPr>
                  <w:tcW w:w="627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Ориентировочные объемы финансирования по годам, тыс. руб.</w:t>
                  </w:r>
                </w:p>
              </w:tc>
            </w:tr>
            <w:tr w:rsidR="005A2274">
              <w:trPr>
                <w:trHeight w:val="240"/>
              </w:trPr>
              <w:tc>
                <w:tcPr>
                  <w:tcW w:w="1033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5A2274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color w:val="00000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2017</w:t>
                  </w:r>
                </w:p>
              </w:tc>
              <w:tc>
                <w:tcPr>
                  <w:tcW w:w="9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2018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2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Всего</w:t>
                  </w:r>
                </w:p>
              </w:tc>
            </w:tr>
            <w:tr w:rsidR="005A2274">
              <w:trPr>
                <w:trHeight w:val="260"/>
              </w:trPr>
              <w:tc>
                <w:tcPr>
                  <w:tcW w:w="3853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Всего по Программе</w:t>
                  </w:r>
                </w:p>
              </w:tc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5A2274">
                  <w:pPr>
                    <w:pStyle w:val="normal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5A2274">
                  <w:pPr>
                    <w:pStyle w:val="normal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5A2274">
              <w:tc>
                <w:tcPr>
                  <w:tcW w:w="10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Бюджет </w:t>
                  </w:r>
                  <w:proofErr w:type="spellStart"/>
                  <w:r>
                    <w:rPr>
                      <w:color w:val="000000"/>
                    </w:rPr>
                    <w:t>Торбеевского</w:t>
                  </w:r>
                  <w:proofErr w:type="spellEnd"/>
                  <w:r>
                    <w:rPr>
                      <w:color w:val="000000"/>
                    </w:rPr>
                    <w:t xml:space="preserve"> района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396</w:t>
                  </w:r>
                </w:p>
              </w:tc>
              <w:tc>
                <w:tcPr>
                  <w:tcW w:w="9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396</w:t>
                  </w:r>
                </w:p>
              </w:tc>
              <w:tc>
                <w:tcPr>
                  <w:tcW w:w="9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487</w:t>
                  </w:r>
                </w:p>
              </w:tc>
              <w:tc>
                <w:tcPr>
                  <w:tcW w:w="1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487</w:t>
                  </w:r>
                </w:p>
              </w:tc>
              <w:tc>
                <w:tcPr>
                  <w:tcW w:w="23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A2274" w:rsidRDefault="00AD21C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hd w:val="clear" w:color="auto" w:fill="FFFFFF"/>
                    <w:ind w:left="-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1766</w:t>
                  </w:r>
                </w:p>
              </w:tc>
            </w:tr>
          </w:tbl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67"/>
              <w:rPr>
                <w:color w:val="000000"/>
              </w:rPr>
            </w:pP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24" w:right="29" w:firstLine="305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Объемы финансирования из бюджета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района, предусмотренные Программой, носят ориентировочный характер и подлежат ежегодной корректировке при формировании и утверждении бюджета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 на соответствующий финансовый год.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67" w:firstLine="305"/>
              <w:jc w:val="both"/>
              <w:rPr>
                <w:color w:val="000000"/>
              </w:rPr>
            </w:pPr>
          </w:p>
        </w:tc>
      </w:tr>
      <w:tr w:rsidR="005A2274"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Ожидаемые конечные результаты реализации Программы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2"/>
              </w:tabs>
              <w:ind w:left="0" w:firstLine="0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Рост качества жизни населения </w:t>
            </w:r>
            <w:proofErr w:type="spellStart"/>
            <w:r>
              <w:rPr>
                <w:color w:val="000000"/>
                <w:sz w:val="26"/>
                <w:szCs w:val="26"/>
              </w:rPr>
              <w:t>Торбеевского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района, измеряемый оценкой качества жизни самими гражданами в ходе социологических опросов.</w:t>
            </w:r>
          </w:p>
          <w:p w:rsidR="005A2274" w:rsidRDefault="00AD21C1">
            <w:pPr>
              <w:pStyle w:val="normal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2"/>
              </w:tabs>
              <w:ind w:left="0" w:firstLine="0"/>
              <w:jc w:val="both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Повышение эффективности расходования бюджетных средств за счет оказания государственных услуг и выполнения государственных функций в электронном виде, сокращения времени и повышения качества принятия управленческих решений, исключения дублирования создаваемых информационных систем и обеспечения их эффективного взаимодействия.</w:t>
            </w:r>
          </w:p>
        </w:tc>
      </w:tr>
    </w:tbl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D21C1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AD21C1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30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lastRenderedPageBreak/>
        <w:t>II. Характеристика проблемы, на решение которой направлена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30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Программа, включая анализ причин ее возникновения,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8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целесообразность и необходимость ее решения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88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программно-целевыми методами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88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Обоснование соответствия решения проблемы целям и приоритетным задачам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социально-экономического развития </w:t>
      </w:r>
      <w:proofErr w:type="spellStart"/>
      <w:r>
        <w:rPr>
          <w:b/>
          <w:color w:val="000000"/>
          <w:sz w:val="26"/>
          <w:szCs w:val="26"/>
        </w:rPr>
        <w:t>Торбеевского</w:t>
      </w:r>
      <w:proofErr w:type="spellEnd"/>
      <w:r>
        <w:rPr>
          <w:b/>
          <w:color w:val="000000"/>
          <w:sz w:val="26"/>
          <w:szCs w:val="26"/>
        </w:rPr>
        <w:t xml:space="preserve"> района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24" w:right="24" w:firstLine="51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Стратегией развития информационного общества в Российской Федерации, утвержденной Президентом Российской Федерации 7 февраля 2008 г. N Пр-212 установлено, что информационное общество характеризуется высоким уровнем развития информационных технологий и их интенсивным использованием гражданами, бизнесом и органами государственной власти, то есть для создания информационного общества высокий уровень развития информационных технологий является необходимым, но не достаточным условием.</w:t>
      </w:r>
      <w:proofErr w:type="gramEnd"/>
      <w:r>
        <w:rPr>
          <w:color w:val="000000"/>
          <w:sz w:val="26"/>
          <w:szCs w:val="26"/>
        </w:rPr>
        <w:t xml:space="preserve"> Необходимо обеспечить возможность внедрения технологий и создать привычку их использования в повседневной жизни. Поскольку информационное общество по своей природе не может быть локальным, то для всех граждан Российской Федерации независимо от места их проживания и социального статуса должны соблюдаться единые минимальные федеральные стандарты доступности информационных технологий. Соблюдение этих стандартов на уровне муниципального района является причиной разработки Программы «Развитие информационного общества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 в период до 2018 года».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9" w:line="360" w:lineRule="auto"/>
        <w:ind w:left="24" w:righ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Развитие информационного общества в </w:t>
      </w:r>
      <w:proofErr w:type="spellStart"/>
      <w:r>
        <w:rPr>
          <w:color w:val="000000"/>
          <w:sz w:val="26"/>
          <w:szCs w:val="26"/>
        </w:rPr>
        <w:t>Торбеевском</w:t>
      </w:r>
      <w:proofErr w:type="spellEnd"/>
      <w:r>
        <w:rPr>
          <w:color w:val="000000"/>
          <w:sz w:val="26"/>
          <w:szCs w:val="26"/>
        </w:rPr>
        <w:t xml:space="preserve"> районе направлено на реализацию целей и задач, поставленных в ряде правовых актов Республики Мордовия и Российской Федерации, таких как: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06.10.2003 N 131-ФЗ "Об общих принципах организации местного самоуправления".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09.02.2009 N 8-ФЗ "Об обеспечении доступа к информации о деятельности государственных органов и органов местного самоуправления".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27.07.2006 N 152-ФЗ "О персональных данных".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proofErr w:type="gramStart"/>
      <w:r>
        <w:rPr>
          <w:color w:val="000000"/>
          <w:sz w:val="26"/>
          <w:szCs w:val="26"/>
        </w:rPr>
        <w:t>Федеральный</w:t>
      </w:r>
      <w:proofErr w:type="gramEnd"/>
      <w:r>
        <w:rPr>
          <w:color w:val="000000"/>
          <w:sz w:val="26"/>
          <w:szCs w:val="26"/>
        </w:rPr>
        <w:t xml:space="preserve"> от 27.07.2010 N 210-ФЗ "Об организации предоставления государственных и муниципальных услуг".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4" w:firstLine="516"/>
        <w:jc w:val="both"/>
        <w:rPr>
          <w:rFonts w:ascii="Arial" w:eastAsia="Arial" w:hAnsi="Arial" w:cs="Arial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Правительства Российской Федерации от 15.06.2009 N 478 "О единой системе информационно-справочной поддержки граждан и организаций по вопросам </w:t>
      </w:r>
      <w:r>
        <w:rPr>
          <w:color w:val="000000"/>
          <w:sz w:val="26"/>
          <w:szCs w:val="26"/>
        </w:rPr>
        <w:lastRenderedPageBreak/>
        <w:t>взаимодействия с органами исполнительной власти и органами местного самоуправления с использованием информационно-телекоммуникационной сети Интернет".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5" w:line="360" w:lineRule="auto"/>
        <w:ind w:left="24" w:firstLine="51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Республиканская целевая программа «Развитие информационного общества в Республике Мордовия в период до 2018 года» (утвержденная Постановлением Правительства Республики Мордовия от 23.09.2013 г. № 421)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644" w:right="1622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644" w:right="162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Обоснование целесообразности и необходимости решения проблемы программно-целевым методом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80"/>
        </w:tabs>
        <w:spacing w:line="360" w:lineRule="auto"/>
        <w:ind w:left="29" w:right="14" w:firstLine="51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Процесс перехода к информационному обществу - это сложная комплексная задача, охватывающая практически все виды и формы человеческой деятельности, затрагивающая интересы всех слоев общества. Решение такого рода задачи требует достаточно длительного времени, эффективного взаимодействия всех заинтересованных в ее решении сторон. Именно для решения такого рода задач, требующих интеграции усилий всего общества, служит программно-целевой подход. В его основу положен принцип ориентации совокупности выполняемых различными исполнителями действий на достижение общей цели.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80"/>
        </w:tabs>
        <w:spacing w:before="19" w:line="360" w:lineRule="auto"/>
        <w:ind w:left="29" w:right="34" w:firstLine="51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Развитие и использование ИКТ для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является задачей, решение которой требует программно-целевого подхода, поскольку для ее решения необходимо: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" w:line="360" w:lineRule="auto"/>
        <w:ind w:right="34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решение множества проблем, значительная часть которых имеет межведомственный и межотраслевой характер;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4" w:line="360" w:lineRule="auto"/>
        <w:ind w:right="43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решение общесистемных проблем информатизации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на уровне Республики Мордовия;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достаточно длительный период времени;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"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достаточно большие финансовые и человеческие ресурсы.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Использование программно-целевого метода позволит: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5" w:line="360" w:lineRule="auto"/>
        <w:ind w:right="58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при решении задач в области развития и использования ИКТ обеспечить концентрацию ресурсов, выделяемых из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Республики Мордовия и привлекаемых из внебюджетных источников;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проводить единую техническую политику при решении задач в области развития и использования ИКТ в целях совершенствования деятельности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 повысить эффективность расходования бюджетных средств на развитие и использование ИКТ, в том числе за счет координации работ и ликвидации дублирования мероприятий в области развития и использования ИКТ, реализуемых в рамках различных программ и проектов;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</w:rPr>
      </w:pPr>
      <w:r>
        <w:rPr>
          <w:color w:val="000000"/>
          <w:sz w:val="26"/>
          <w:szCs w:val="26"/>
        </w:rPr>
        <w:t>- обеспечить эффективное межведомственное взаимодействие в области развития и использования ИКТ.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902" w:hanging="180"/>
        <w:jc w:val="both"/>
        <w:rPr>
          <w:color w:val="000000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Характеристика и прогноз развития проблемы без использования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программно-целевого метода ее решения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Управление процессами развития и использования ИКТ для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без применения программно-целевого подхода обуславливает появление серьезных рисков с высокой вероятностью появления и с сильной степенью угрозы, а именно: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координировать развитие межведомственного взаимодействия на уровне используемых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системно решать задачи, поставленные на уровне Республики Мордовия;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10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потеря управляемости систем безопасности в средствах хранения и передачи конфиденциальной информации;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оказания муниципальных услуг в электронном виде;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19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невозможность интеграции с региональными и федеральными информационными системами.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" w:firstLine="540"/>
        <w:jc w:val="both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color w:val="000000"/>
          <w:sz w:val="26"/>
          <w:szCs w:val="26"/>
        </w:rPr>
        <w:t xml:space="preserve">Учитывая </w:t>
      </w:r>
      <w:proofErr w:type="gramStart"/>
      <w:r>
        <w:rPr>
          <w:color w:val="000000"/>
          <w:sz w:val="26"/>
          <w:szCs w:val="26"/>
        </w:rPr>
        <w:t>вышеизложенное</w:t>
      </w:r>
      <w:proofErr w:type="gramEnd"/>
      <w:r>
        <w:rPr>
          <w:color w:val="000000"/>
          <w:sz w:val="26"/>
          <w:szCs w:val="26"/>
        </w:rPr>
        <w:t xml:space="preserve">, наилучшей формой решения задачи широкомасштабного использования ИКТ для социально-экономического развития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представляется данная Программа, скоординированная с программами развития и использования ИКТ, принятыми как на федеральном уровне, так и в Республике Мордовия.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758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III. Социально-экономическая значимость проблемы для населения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4"/>
        <w:jc w:val="center"/>
        <w:rPr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Торбеевского</w:t>
      </w:r>
      <w:proofErr w:type="spellEnd"/>
      <w:r>
        <w:rPr>
          <w:b/>
          <w:color w:val="000000"/>
          <w:sz w:val="26"/>
          <w:szCs w:val="26"/>
        </w:rPr>
        <w:t xml:space="preserve"> района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right" w:pos="9749"/>
        </w:tabs>
        <w:spacing w:line="360" w:lineRule="auto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Приоритетной задачей настоящей Программы является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</w:t>
      </w:r>
      <w:r>
        <w:rPr>
          <w:color w:val="000000"/>
          <w:sz w:val="26"/>
          <w:szCs w:val="26"/>
        </w:rPr>
        <w:lastRenderedPageBreak/>
        <w:t xml:space="preserve">доступности для населения информации и технологий. Поэтому в рамках Программы будет осуществляться работа по обеспечению открытости доступа к информации о деятельности муниципальных органов власти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района. Будут проводиться модернизация и развитие официального сайта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размещение информации о деятельности на региональных и федеральных специализированных порталах в сети Интернет, например, портал государственных услуг.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 w:firstLine="715"/>
        <w:jc w:val="both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IV. Цели и задачи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Целями Программы являются повышение качества жизни граждан, развитие экономической, социально-политической, культурной и духовной сфер жизни общества в Республике Мордовия, совершенствование системы муниципального самоуправления в </w:t>
      </w:r>
      <w:proofErr w:type="spellStart"/>
      <w:r>
        <w:rPr>
          <w:color w:val="000000"/>
          <w:sz w:val="26"/>
          <w:szCs w:val="26"/>
        </w:rPr>
        <w:t>Торбеевском</w:t>
      </w:r>
      <w:proofErr w:type="spellEnd"/>
      <w:r>
        <w:rPr>
          <w:color w:val="000000"/>
          <w:sz w:val="26"/>
          <w:szCs w:val="26"/>
        </w:rPr>
        <w:t xml:space="preserve"> районе на основе использования информационных и телекоммуникационных технологий, формирование и развитие информационного общества в </w:t>
      </w:r>
      <w:proofErr w:type="spellStart"/>
      <w:r>
        <w:rPr>
          <w:color w:val="000000"/>
          <w:sz w:val="26"/>
          <w:szCs w:val="26"/>
        </w:rPr>
        <w:t>Торбеевском</w:t>
      </w:r>
      <w:proofErr w:type="spellEnd"/>
      <w:r>
        <w:rPr>
          <w:color w:val="000000"/>
          <w:sz w:val="26"/>
          <w:szCs w:val="26"/>
        </w:rPr>
        <w:t xml:space="preserve"> районе как ячейки информационного общества Республики Мордовии.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5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 числу основных задач, требующих решения для достижения поставленных целей, относятся: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0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9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повышение эффективности местного    самоуправления,    взаимодействия    гражданского общества  и   бизнеса  с   органами   местного самоуправления, качества и оперативности предоставления муниципальных услуг;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9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повышение уровня использования населением информационных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9" w:firstLine="5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повышение квалификации сотрудников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  в   сфере  использования информационных   и телекоммуникационных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 w:right="19" w:firstLine="506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- противодействие        использованию       на       территории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  потенциала   информационных   и телекоммуникационных     технологий     в     целях  несанкционированного доступа к муниципальным информационным системам.    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/>
        <w:jc w:val="center"/>
        <w:rPr>
          <w:color w:val="000000"/>
          <w:sz w:val="12"/>
          <w:szCs w:val="12"/>
        </w:rPr>
      </w:pPr>
      <w:r>
        <w:rPr>
          <w:b/>
          <w:color w:val="000000"/>
          <w:sz w:val="26"/>
          <w:szCs w:val="26"/>
        </w:rPr>
        <w:lastRenderedPageBreak/>
        <w:t>V. Целевые индикаторы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/>
        <w:jc w:val="center"/>
        <w:rPr>
          <w:color w:val="000000"/>
          <w:sz w:val="12"/>
          <w:szCs w:val="12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58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Целевые индикаторы по годам реализации Программы приведены в приложении 1 к настоящей Программе.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12"/>
          <w:szCs w:val="12"/>
        </w:rPr>
      </w:pPr>
      <w:r>
        <w:rPr>
          <w:b/>
          <w:color w:val="000000"/>
          <w:sz w:val="26"/>
          <w:szCs w:val="26"/>
        </w:rPr>
        <w:t>VI. План мероприятий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4"/>
        <w:jc w:val="center"/>
        <w:rPr>
          <w:color w:val="000000"/>
          <w:sz w:val="12"/>
          <w:szCs w:val="12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29" w:right="10" w:firstLine="51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целях реализации Программы необходимо осуществить комплекс организационно-практических мероприятий. План мероприятий Программы приведен в приложении 2 к настоящей Программе.</w:t>
      </w:r>
    </w:p>
    <w:p w:rsidR="005A2274" w:rsidRDefault="005A2274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29" w:firstLine="511"/>
        <w:jc w:val="both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VII. Обоснование ресурсного обеспечения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06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8" w:right="5" w:firstLine="50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Источником сре</w:t>
      </w:r>
      <w:proofErr w:type="gramStart"/>
      <w:r>
        <w:rPr>
          <w:color w:val="000000"/>
          <w:sz w:val="26"/>
          <w:szCs w:val="26"/>
        </w:rPr>
        <w:t>дств дл</w:t>
      </w:r>
      <w:proofErr w:type="gramEnd"/>
      <w:r>
        <w:rPr>
          <w:color w:val="000000"/>
          <w:sz w:val="26"/>
          <w:szCs w:val="26"/>
        </w:rPr>
        <w:t xml:space="preserve">я реализации Программы являются средства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8" w:right="5" w:firstLine="50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Для выполнения мероприятий Программы могут быть привлечены средства бюджета Республики Мордовия, предусмотренные в рамках Республиканской целевой программы «Развитие информационного общества в Республике Мордовия в период до 2018 года», содержащих мероприятия по развитию и внедрению ИКТ, а также иные источники в соответствии с законодательством Российской Федерации.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38" w:right="5" w:firstLine="502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Необходимый объем финансирования Программы – 1766 тыс. руб. 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4"/>
        <w:rPr>
          <w:color w:val="000000"/>
        </w:rPr>
      </w:pP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4"/>
        <w:jc w:val="center"/>
        <w:rPr>
          <w:color w:val="000000"/>
          <w:sz w:val="24"/>
          <w:szCs w:val="24"/>
        </w:rPr>
      </w:pP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4"/>
        <w:jc w:val="center"/>
        <w:rPr>
          <w:color w:val="000000"/>
          <w:sz w:val="24"/>
          <w:szCs w:val="24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4"/>
        <w:jc w:val="center"/>
        <w:rPr>
          <w:color w:val="000000"/>
        </w:rPr>
      </w:pPr>
      <w:r>
        <w:rPr>
          <w:color w:val="000000"/>
          <w:sz w:val="24"/>
          <w:szCs w:val="24"/>
        </w:rPr>
        <w:t>Источники и объемы финансирования мероприятий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67"/>
        <w:rPr>
          <w:color w:val="000000"/>
        </w:rPr>
      </w:pP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67"/>
        <w:rPr>
          <w:color w:val="000000"/>
        </w:rPr>
      </w:pPr>
    </w:p>
    <w:tbl>
      <w:tblPr>
        <w:tblStyle w:val="aa"/>
        <w:tblW w:w="9900" w:type="dxa"/>
        <w:jc w:val="center"/>
        <w:tblInd w:w="0" w:type="dxa"/>
        <w:tblLayout w:type="fixed"/>
        <w:tblLook w:val="0000"/>
      </w:tblPr>
      <w:tblGrid>
        <w:gridCol w:w="1425"/>
        <w:gridCol w:w="1320"/>
        <w:gridCol w:w="1230"/>
        <w:gridCol w:w="1245"/>
        <w:gridCol w:w="1395"/>
        <w:gridCol w:w="3285"/>
      </w:tblGrid>
      <w:tr w:rsidR="005A2274">
        <w:trPr>
          <w:trHeight w:val="260"/>
          <w:jc w:val="center"/>
        </w:trPr>
        <w:tc>
          <w:tcPr>
            <w:tcW w:w="14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84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Ориентировочные объемы финансирования по годам, тыс. руб.</w:t>
            </w:r>
          </w:p>
        </w:tc>
      </w:tr>
      <w:tr w:rsidR="005A2274">
        <w:trPr>
          <w:trHeight w:val="240"/>
          <w:jc w:val="center"/>
        </w:trPr>
        <w:tc>
          <w:tcPr>
            <w:tcW w:w="14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</w:t>
            </w:r>
          </w:p>
        </w:tc>
      </w:tr>
      <w:tr w:rsidR="005A2274">
        <w:trPr>
          <w:trHeight w:val="260"/>
          <w:jc w:val="center"/>
        </w:trPr>
        <w:tc>
          <w:tcPr>
            <w:tcW w:w="99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Всего по Программе</w:t>
            </w:r>
          </w:p>
        </w:tc>
      </w:tr>
      <w:tr w:rsidR="005A2274">
        <w:trPr>
          <w:jc w:val="center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Бюджет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1766</w:t>
            </w:r>
          </w:p>
        </w:tc>
      </w:tr>
    </w:tbl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67"/>
        <w:rPr>
          <w:color w:val="000000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14" w:firstLine="52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Объемы финансирования, предусмотренные Программой, носят ориентировочный характер и подлежат ежегодной корректировке при формировании и утверждении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на соответствующий финансовый год.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В случае несоответствия результатов выполнения Программы целевым индикаторам и показателям эффективности может быть принято </w:t>
      </w:r>
      <w:proofErr w:type="gramStart"/>
      <w:r>
        <w:rPr>
          <w:color w:val="000000"/>
          <w:sz w:val="26"/>
          <w:szCs w:val="26"/>
        </w:rPr>
        <w:t>решение</w:t>
      </w:r>
      <w:proofErr w:type="gramEnd"/>
      <w:r>
        <w:rPr>
          <w:color w:val="000000"/>
          <w:sz w:val="26"/>
          <w:szCs w:val="26"/>
        </w:rPr>
        <w:t xml:space="preserve"> о сокращении начиная с очередного финансового года бюджетных ассигнований на реализацию Программы или о досрочном прекращении реализации Программы.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9" w:right="34" w:firstLine="521"/>
        <w:jc w:val="both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34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VIII. Механизм реализации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34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Формирование организационной структуры управления процессами информатизации должно определяться необходимостью обеспечения потребностей стратегического и оперативного управления.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 этом основными процессами являются: формирование нормативной базы, ресурсное планирование, управление инфраструктурой, управление корпоративными, межведомственными и ведомственными информационными системами, поддержка принятия управленческих решений, другие целевые программы.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Заказчиком Программы является администрация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муниципального района.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Операторы осуществляют полномочия владения данными ресурсами, а также реализуют функции по администрированию, различным видам обеспечения (нормативному, техническому, ресурсному, кадровому и т.д.), вводу необходимых данных, обеспечению взаимодействия с другими информационными системами, а также обеспечивают необходимый уровень информационной безопасности.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rFonts w:ascii="Arial" w:eastAsia="Arial" w:hAnsi="Arial" w:cs="Arial"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качестве меры, стимулирующей инициативу и качество проработки проектов, предлагается использовать конкурентное распределение ресурсов на отдельные проекты и мероприятия в области информатизации.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Заказчик Программы: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осуществляет организацию, координацию и </w:t>
      </w:r>
      <w:proofErr w:type="gramStart"/>
      <w:r>
        <w:rPr>
          <w:color w:val="000000"/>
          <w:sz w:val="26"/>
          <w:szCs w:val="26"/>
        </w:rPr>
        <w:t>контроль за</w:t>
      </w:r>
      <w:proofErr w:type="gramEnd"/>
      <w:r>
        <w:rPr>
          <w:color w:val="000000"/>
          <w:sz w:val="26"/>
          <w:szCs w:val="26"/>
        </w:rPr>
        <w:t xml:space="preserve"> реализацией Программы, вносит в установленном порядке предложения по уточнению мероприятий Программы с учетом складывающейся социально-экономической ситуации;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10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пределах своей компетенции обеспечивает </w:t>
      </w:r>
      <w:proofErr w:type="gramStart"/>
      <w:r>
        <w:rPr>
          <w:color w:val="000000"/>
          <w:sz w:val="26"/>
          <w:szCs w:val="26"/>
        </w:rPr>
        <w:t>контроль за</w:t>
      </w:r>
      <w:proofErr w:type="gramEnd"/>
      <w:r>
        <w:rPr>
          <w:color w:val="000000"/>
          <w:sz w:val="26"/>
          <w:szCs w:val="26"/>
        </w:rPr>
        <w:t xml:space="preserve"> целевым использованием средств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14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ежегодно в соответствии с законодательством уточняет с учетом выделяемых на Программу финансовых средств целевые индикаторы, показатели эффективности Программы и затраты по программным мероприятиям;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40"/>
        <w:rPr>
          <w:color w:val="000000"/>
        </w:rPr>
      </w:pPr>
      <w:r>
        <w:rPr>
          <w:color w:val="000000"/>
          <w:sz w:val="26"/>
          <w:szCs w:val="26"/>
        </w:rPr>
        <w:lastRenderedPageBreak/>
        <w:t>осуществляет координацию действий исполнителей Программы.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43"/>
        <w:jc w:val="center"/>
        <w:rPr>
          <w:color w:val="000000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912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IX. Оценки ожидаемой эффективности реализации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912"/>
        <w:rPr>
          <w:color w:val="000000"/>
          <w:sz w:val="26"/>
          <w:szCs w:val="26"/>
        </w:rPr>
      </w:pP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Исполнение Программы должно привести к достижению следующих результатов: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доведение доли персональных компьютеров в органах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подключенных к локальным вычислительным сетям, до 100 процентов;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доведение уровня доступности информационных сервисов для муниципальных служащих (электронная почта, доступ к Интернету, правовые справочные системы) до 100 процентов;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доведение уровня ежегодного обновления парка персональных компьютеров в органах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до 20 процентов;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увеличение доли электронного документооборота в органах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до 90 процентов от общего объема документооборота;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увеличение доли муниципальных услуг оказанных в электронном виде до 90 процентов; </w:t>
      </w:r>
    </w:p>
    <w:p w:rsidR="005A2274" w:rsidRDefault="00AD21C1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40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- обеспечение защиты и сохранения целостности информации, обрабатываемой в информационных системах органов местного самоуправления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"/>
        <w:jc w:val="both"/>
        <w:rPr>
          <w:color w:val="000000"/>
          <w:sz w:val="26"/>
          <w:szCs w:val="26"/>
        </w:rPr>
      </w:pPr>
      <w:r>
        <w:rPr>
          <w:color w:val="000000"/>
        </w:rPr>
        <w:tab/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"/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X. Оценка рисков реализации Программы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right="29"/>
        <w:jc w:val="center"/>
        <w:rPr>
          <w:color w:val="000000"/>
          <w:sz w:val="26"/>
          <w:szCs w:val="26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right="19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 успешное выполнение Программы и достижение поставленных целей могут повлиять следующие внешние факторы и риски: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right="5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экономические риски, связанные с необходимыми вложениями сре</w:t>
      </w:r>
      <w:proofErr w:type="gramStart"/>
      <w:r>
        <w:rPr>
          <w:color w:val="000000"/>
          <w:sz w:val="26"/>
          <w:szCs w:val="26"/>
        </w:rPr>
        <w:t>дств в р</w:t>
      </w:r>
      <w:proofErr w:type="gramEnd"/>
      <w:r>
        <w:rPr>
          <w:color w:val="000000"/>
          <w:sz w:val="26"/>
          <w:szCs w:val="26"/>
        </w:rPr>
        <w:t xml:space="preserve">азвитие ИКТ, что ставит выполнение Программы в зависимость от бюджетной обеспеченности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района, общей экономической ситуации в стране и в республике, благоприятного инвестиционного климата и т.д.;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организационные риски, связанные с проблемами </w:t>
      </w:r>
      <w:proofErr w:type="gramStart"/>
      <w:r>
        <w:rPr>
          <w:color w:val="000000"/>
          <w:sz w:val="26"/>
          <w:szCs w:val="26"/>
        </w:rPr>
        <w:t>координации деятельности большого числа исполнителей Программы</w:t>
      </w:r>
      <w:proofErr w:type="gramEnd"/>
      <w:r>
        <w:rPr>
          <w:color w:val="000000"/>
          <w:sz w:val="26"/>
          <w:szCs w:val="26"/>
        </w:rPr>
        <w:t xml:space="preserve"> и управления проектами, требующими согласованной технической политики и перестройки административных процессов и т.п.;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right="5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 риски, связанные с «человеческим фактором», характерные при осваивании новых технологий;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firstLine="52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технологические риски в решении отдельных задач.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Минимизация экономических рисков может быть достигнута за счет обеспечения выполнения Программы необходимыми для достижения результатов ресурсами, в том числе необходимого финансирования мероприятий Программы. Эффективность использования средств бюджета </w:t>
      </w:r>
      <w:proofErr w:type="spellStart"/>
      <w:r>
        <w:rPr>
          <w:color w:val="000000"/>
          <w:sz w:val="26"/>
          <w:szCs w:val="26"/>
        </w:rPr>
        <w:t>Торбеевского</w:t>
      </w:r>
      <w:proofErr w:type="spellEnd"/>
      <w:r>
        <w:rPr>
          <w:color w:val="000000"/>
          <w:sz w:val="26"/>
          <w:szCs w:val="26"/>
        </w:rPr>
        <w:t xml:space="preserve"> района на информатизацию будет зависеть, в том числе, и от согласованного решения общесистемных проблем на уровне Республики Мордовия и единства подходов в электронном развитии региона в целом.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4" w:right="5" w:firstLine="5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Минимизация организационных рисков связана главным образом с эффективной координацией выполнения мероприятий Программы. Основные организационные риски выполнения Программы связаны с тем, что успешное решение задач эффективного использования ИКТ связано с необходимостью решения задач административной реформы в органах государственной власти. При этом необходимо учитывать возможности ИКТ для повышения качества муниципального управления. Решение этих вопросов выходит за рамки компетенции муниципального заказчика Программы. 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4" w:firstLine="526"/>
        <w:jc w:val="right"/>
        <w:rPr>
          <w:rFonts w:ascii="Arial" w:eastAsia="Arial" w:hAnsi="Arial" w:cs="Arial"/>
          <w:color w:val="000000"/>
          <w:sz w:val="26"/>
          <w:szCs w:val="26"/>
        </w:rPr>
      </w:pPr>
      <w:r>
        <w:br w:type="page"/>
      </w:r>
      <w:r>
        <w:rPr>
          <w:b/>
          <w:color w:val="000000"/>
          <w:sz w:val="26"/>
          <w:szCs w:val="26"/>
        </w:rPr>
        <w:lastRenderedPageBreak/>
        <w:t>ПРИЛОЖЕНИЕ № 1</w:t>
      </w: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6"/>
          <w:szCs w:val="26"/>
        </w:rPr>
        <w:t xml:space="preserve">Целевые индикаторы и показатели эффективности, характеризующие результаты реализации муниципальной целевой Программы «Формирование информационного общества в </w:t>
      </w:r>
      <w:proofErr w:type="spellStart"/>
      <w:r>
        <w:rPr>
          <w:b/>
          <w:color w:val="000000"/>
          <w:sz w:val="26"/>
          <w:szCs w:val="26"/>
        </w:rPr>
        <w:t>Торбеевском</w:t>
      </w:r>
      <w:proofErr w:type="spellEnd"/>
      <w:r>
        <w:rPr>
          <w:b/>
          <w:color w:val="000000"/>
          <w:sz w:val="26"/>
          <w:szCs w:val="26"/>
        </w:rPr>
        <w:t xml:space="preserve"> муниципальном  районе в период до 2020 года»</w:t>
      </w:r>
    </w:p>
    <w:tbl>
      <w:tblPr>
        <w:tblStyle w:val="ab"/>
        <w:tblW w:w="10279" w:type="dxa"/>
        <w:tblInd w:w="0" w:type="dxa"/>
        <w:tblLayout w:type="fixed"/>
        <w:tblLook w:val="0000"/>
      </w:tblPr>
      <w:tblGrid>
        <w:gridCol w:w="530"/>
        <w:gridCol w:w="3306"/>
        <w:gridCol w:w="922"/>
        <w:gridCol w:w="1297"/>
        <w:gridCol w:w="1456"/>
        <w:gridCol w:w="896"/>
        <w:gridCol w:w="850"/>
        <w:gridCol w:w="1022"/>
      </w:tblGrid>
      <w:tr w:rsidR="005A2274">
        <w:trPr>
          <w:trHeight w:val="60"/>
        </w:trPr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Наименование целевого индикатора и показателя эффективности</w:t>
            </w: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Единицы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измерения</w:t>
            </w:r>
          </w:p>
        </w:tc>
        <w:tc>
          <w:tcPr>
            <w:tcW w:w="1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Базовый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показатель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программе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&lt;*&gt;</w:t>
            </w:r>
          </w:p>
        </w:tc>
        <w:tc>
          <w:tcPr>
            <w:tcW w:w="42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Прогноз &lt;**-&gt;</w:t>
            </w:r>
          </w:p>
        </w:tc>
      </w:tr>
      <w:tr w:rsidR="005A2274">
        <w:trPr>
          <w:trHeight w:val="60"/>
        </w:trPr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Очередной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финансовый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2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Плановый период</w:t>
            </w:r>
          </w:p>
        </w:tc>
      </w:tr>
      <w:tr w:rsidR="005A2274">
        <w:trPr>
          <w:trHeight w:val="60"/>
        </w:trPr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2020</w:t>
            </w:r>
          </w:p>
        </w:tc>
      </w:tr>
      <w:tr w:rsidR="005A2274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Целевые индикаторы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Уровень ежегодного обновления парка компьютерной и организационной техники в органах местного самоуправления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t>3</w:t>
            </w:r>
            <w:r>
              <w:rPr>
                <w:color w:val="000000"/>
              </w:rPr>
              <w:t>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t>3</w:t>
            </w:r>
            <w:r>
              <w:rPr>
                <w:color w:val="000000"/>
              </w:rPr>
              <w:t>0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Доля  муниципальных органов и подведомственных организаций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района, подключенных  к  единой,   высокоскоростной,   защищенной телекоммуникационной сети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Доля   электронного   документооборота  в общем объеме документооборота органов местного самоуправления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Доля электронных запросов к федеральным органам власти в общем объеме запросов.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Доля    муниципальных    библиотек, имеющих     широкополосный доступ к сети Интернет. 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A2274">
        <w:trPr>
          <w:trHeight w:val="6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Доля  архивных документов,  включенных  в  электронные описи, в общем объеме документов архивного отдела Администрации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муниципального </w:t>
            </w:r>
            <w:proofErr w:type="spellStart"/>
            <w:r>
              <w:rPr>
                <w:color w:val="000000"/>
              </w:rPr>
              <w:t>раойна</w:t>
            </w:r>
            <w:proofErr w:type="spellEnd"/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5A2274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Показатели эффективности: бюджетной, социальной, экономической</w:t>
            </w:r>
          </w:p>
        </w:tc>
      </w:tr>
      <w:tr w:rsidR="005A2274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&lt;*&gt; Показатель, достигнутый в отчетном году, предшествующему году начала реализации программы</w:t>
            </w:r>
          </w:p>
        </w:tc>
      </w:tr>
      <w:tr w:rsidR="005A2274">
        <w:trPr>
          <w:trHeight w:val="60"/>
        </w:trPr>
        <w:tc>
          <w:tcPr>
            <w:tcW w:w="102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&lt;**&gt; Данные приведены нарастающим итогом</w:t>
            </w:r>
          </w:p>
        </w:tc>
      </w:tr>
    </w:tbl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Courier New" w:eastAsia="Courier New" w:hAnsi="Courier New" w:cs="Courier New"/>
          <w:color w:val="000000"/>
          <w:sz w:val="28"/>
          <w:szCs w:val="28"/>
        </w:rPr>
      </w:pPr>
      <w:r>
        <w:br w:type="page"/>
      </w:r>
      <w:r>
        <w:rPr>
          <w:b/>
          <w:color w:val="000000"/>
          <w:sz w:val="26"/>
          <w:szCs w:val="26"/>
        </w:rPr>
        <w:lastRenderedPageBreak/>
        <w:t>ПРИЛОЖЕНИЕ № 2</w:t>
      </w: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8"/>
          <w:szCs w:val="28"/>
        </w:rPr>
      </w:pPr>
    </w:p>
    <w:p w:rsidR="005A2274" w:rsidRDefault="00AD21C1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</w:rPr>
      </w:pPr>
      <w:r>
        <w:rPr>
          <w:b/>
          <w:color w:val="000000"/>
          <w:sz w:val="26"/>
          <w:szCs w:val="26"/>
        </w:rPr>
        <w:t xml:space="preserve">План мероприятий Муниципальной целевой программы «Формирование информационного общества в </w:t>
      </w:r>
      <w:proofErr w:type="spellStart"/>
      <w:r>
        <w:rPr>
          <w:b/>
          <w:color w:val="000000"/>
          <w:sz w:val="26"/>
          <w:szCs w:val="26"/>
        </w:rPr>
        <w:t>Торбеевском</w:t>
      </w:r>
      <w:proofErr w:type="spellEnd"/>
      <w:r>
        <w:rPr>
          <w:b/>
          <w:color w:val="000000"/>
          <w:sz w:val="26"/>
          <w:szCs w:val="26"/>
        </w:rPr>
        <w:t xml:space="preserve"> муниципальном районе в период до 2018 года»</w:t>
      </w:r>
    </w:p>
    <w:tbl>
      <w:tblPr>
        <w:tblStyle w:val="ac"/>
        <w:tblW w:w="10145" w:type="dxa"/>
        <w:jc w:val="center"/>
        <w:tblInd w:w="0" w:type="dxa"/>
        <w:tblLayout w:type="fixed"/>
        <w:tblLook w:val="0000"/>
      </w:tblPr>
      <w:tblGrid>
        <w:gridCol w:w="540"/>
        <w:gridCol w:w="2340"/>
        <w:gridCol w:w="1260"/>
        <w:gridCol w:w="900"/>
        <w:gridCol w:w="877"/>
        <w:gridCol w:w="745"/>
        <w:gridCol w:w="745"/>
        <w:gridCol w:w="745"/>
        <w:gridCol w:w="795"/>
        <w:gridCol w:w="1198"/>
      </w:tblGrid>
      <w:tr w:rsidR="005A2274">
        <w:trPr>
          <w:trHeight w:val="60"/>
          <w:jc w:val="center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</w:p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Мероприятия Программы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Исполнитель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Срок выполнения</w:t>
            </w:r>
          </w:p>
        </w:tc>
        <w:tc>
          <w:tcPr>
            <w:tcW w:w="3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Финансовые затраты на реализацию (тыс. рублей)</w:t>
            </w:r>
          </w:p>
        </w:tc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Источник финансирования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  <w:tc>
          <w:tcPr>
            <w:tcW w:w="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Всего, тыс. рублей</w:t>
            </w:r>
          </w:p>
        </w:tc>
        <w:tc>
          <w:tcPr>
            <w:tcW w:w="30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  <w:tr w:rsidR="005A2274">
        <w:trPr>
          <w:trHeight w:val="60"/>
          <w:jc w:val="center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2018год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t>1. Формирование современной информационной и телекоммуникационной инфраструктуры, предоставление на ее основе качественных услуг и обеспечение высокого уровня доступности для населения информации и технологий.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Обновление парка компьютерной техники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информатизации, управление финансов </w:t>
            </w:r>
          </w:p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Построение локальных вычислительных сетей в удаленных подразделениях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– 2018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22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Развитие функциональных возможностей официального сайта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органов местного самоуправления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Отдел информатизации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5A2274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</w:t>
            </w: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2. Повышение эффективности местного самоуправления, взаимодействия гражданского общества и бизнеса с органами местного самоуправления, качества и оперативности предоставления муниципальных услуг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технических средств и программного обеспечения   </w:t>
            </w:r>
            <w:r>
              <w:rPr>
                <w:color w:val="000000"/>
                <w:sz w:val="22"/>
                <w:szCs w:val="22"/>
              </w:rPr>
              <w:br/>
              <w:t xml:space="preserve">в органах местного самоуправления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 для внедрения межведомственного электронного документооборота   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Отдел информатизации, управление финансов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Внесение и корректировка  информации об услугах на региональный и федеральный порталы государственных и муниципальных услуг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Отдел экономического развития, отдел информатизации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3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Подключение рабочих мест сотрудников к системам межведомственного документооборота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Отдел экономического развития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t>3. Повышение уровня использования населением информационных технологий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Популяризация использования информационных технологий при получении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муниципальных и государственных услуг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Отдел экономического развития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3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</w:t>
            </w: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4. Повышение квалификации сотрудников органов местного самоуправления 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в сфере использования информационных и телекоммуникационных технологий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Обучение муниципальных служащих в области ИКТ на специализированных курсах    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Принятие участия в семинарах и научно- практических конференциях по проблемам  </w:t>
            </w:r>
            <w:r>
              <w:rPr>
                <w:color w:val="000000"/>
                <w:sz w:val="22"/>
                <w:szCs w:val="22"/>
              </w:rPr>
              <w:br/>
              <w:t xml:space="preserve">развития ИКТ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экономического развития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101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5. Противодействие использованию на территории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потенциала информационных и телекоммуникационных технологий в целях несанкционированного доступа к муниципальным информационным системам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5.1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организационных мероприятий по обеспечению безопасности данных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39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5A2274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Без финансирования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5.2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Приобретение сре</w:t>
            </w:r>
            <w:proofErr w:type="gramStart"/>
            <w:r>
              <w:rPr>
                <w:color w:val="000000"/>
                <w:sz w:val="22"/>
                <w:szCs w:val="22"/>
              </w:rPr>
              <w:t>дств кр</w:t>
            </w:r>
            <w:proofErr w:type="gramEnd"/>
            <w:r>
              <w:rPr>
                <w:color w:val="000000"/>
                <w:sz w:val="22"/>
                <w:szCs w:val="22"/>
              </w:rPr>
              <w:t>иптографической защиты информации для подключения к защищенным сетям передачи данных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информатизации, управлени</w:t>
            </w:r>
            <w:r>
              <w:rPr>
                <w:color w:val="000000"/>
                <w:sz w:val="22"/>
                <w:szCs w:val="22"/>
              </w:rPr>
              <w:lastRenderedPageBreak/>
              <w:t>е финансов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2017 - 2020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  <w:tr w:rsidR="005A2274">
        <w:trPr>
          <w:trHeight w:val="6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5.3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Приобретение лицензионного программного обеспечения, регулярное обновление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 xml:space="preserve">Органы МСУ </w:t>
            </w:r>
            <w:proofErr w:type="spellStart"/>
            <w:r>
              <w:rPr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района, Отдел информатизации, управление финансов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2017 - 2020</w:t>
            </w:r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274" w:rsidRDefault="00AD21C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  <w:sz w:val="2"/>
                <w:szCs w:val="2"/>
              </w:rPr>
            </w:pPr>
            <w:r>
              <w:rPr>
                <w:color w:val="000000"/>
                <w:sz w:val="24"/>
                <w:szCs w:val="24"/>
              </w:rPr>
              <w:t xml:space="preserve">бюджет </w:t>
            </w:r>
            <w:r>
              <w:rPr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района,</w:t>
            </w:r>
            <w:r>
              <w:rPr>
                <w:color w:val="000000"/>
                <w:sz w:val="24"/>
                <w:szCs w:val="24"/>
              </w:rPr>
              <w:br/>
              <w:t xml:space="preserve">привлеченные </w:t>
            </w:r>
            <w:r>
              <w:rPr>
                <w:color w:val="000000"/>
                <w:sz w:val="24"/>
                <w:szCs w:val="24"/>
              </w:rPr>
              <w:br/>
              <w:t xml:space="preserve">средства   </w:t>
            </w:r>
          </w:p>
        </w:tc>
      </w:tr>
    </w:tbl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5A2274" w:rsidRDefault="005A2274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ourier New" w:eastAsia="Courier New" w:hAnsi="Courier New" w:cs="Courier New"/>
          <w:color w:val="000000"/>
          <w:sz w:val="24"/>
          <w:szCs w:val="24"/>
        </w:rPr>
      </w:pPr>
    </w:p>
    <w:p w:rsidR="005A2274" w:rsidRDefault="005A2274" w:rsidP="00AD21C1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9000"/>
        </w:tabs>
        <w:spacing w:line="360" w:lineRule="auto"/>
        <w:ind w:right="-109"/>
        <w:jc w:val="center"/>
        <w:rPr>
          <w:color w:val="000000"/>
          <w:sz w:val="24"/>
          <w:szCs w:val="24"/>
        </w:rPr>
      </w:pPr>
    </w:p>
    <w:sectPr w:rsidR="005A2274" w:rsidSect="005A2274">
      <w:pgSz w:w="11906" w:h="16838"/>
      <w:pgMar w:top="899" w:right="746" w:bottom="851" w:left="126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90037"/>
    <w:multiLevelType w:val="multilevel"/>
    <w:tmpl w:val="C1648FAC"/>
    <w:lvl w:ilvl="0">
      <w:start w:val="1"/>
      <w:numFmt w:val="decimal"/>
      <w:lvlText w:val="%1."/>
      <w:lvlJc w:val="left"/>
      <w:pPr>
        <w:ind w:left="509" w:hanging="360"/>
      </w:pPr>
      <w:rPr>
        <w:rFonts w:ascii="Times New Roman" w:eastAsia="Times New Roman" w:hAnsi="Times New Roman" w:cs="Times New Roman"/>
        <w:sz w:val="26"/>
        <w:szCs w:val="2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abstractNum w:abstractNumId="1">
    <w:nsid w:val="2C7119A6"/>
    <w:multiLevelType w:val="multilevel"/>
    <w:tmpl w:val="6ED8CBBE"/>
    <w:lvl w:ilvl="0">
      <w:start w:val="1"/>
      <w:numFmt w:val="decimal"/>
      <w:lvlText w:val="%1."/>
      <w:lvlJc w:val="left"/>
      <w:pPr>
        <w:ind w:left="720" w:hanging="360"/>
      </w:pPr>
      <w:rPr>
        <w:sz w:val="26"/>
        <w:szCs w:val="2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2274"/>
    <w:rsid w:val="005A2274"/>
    <w:rsid w:val="008618A3"/>
    <w:rsid w:val="00AD21C1"/>
    <w:rsid w:val="00D4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E7E"/>
  </w:style>
  <w:style w:type="paragraph" w:styleId="1">
    <w:name w:val="heading 1"/>
    <w:basedOn w:val="normal"/>
    <w:next w:val="normal"/>
    <w:rsid w:val="005A227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5A227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5A227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5A227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5A227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5A2274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5A2274"/>
  </w:style>
  <w:style w:type="table" w:customStyle="1" w:styleId="TableNormal">
    <w:name w:val="Table Normal"/>
    <w:rsid w:val="005A227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5A227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5A227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5A227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5A227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5A227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5A227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12082235&amp;sub=1" TargetMode="External"/><Relationship Id="rId5" Type="http://schemas.openxmlformats.org/officeDocument/2006/relationships/hyperlink" Target="http://home.garant.ru/document?id=12082235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4115</Words>
  <Characters>23461</Characters>
  <Application>Microsoft Office Word</Application>
  <DocSecurity>0</DocSecurity>
  <Lines>195</Lines>
  <Paragraphs>55</Paragraphs>
  <ScaleCrop>false</ScaleCrop>
  <Company/>
  <LinksUpToDate>false</LinksUpToDate>
  <CharactersWithSpaces>27521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dcterms:created xsi:type="dcterms:W3CDTF">2019-08-05T11:36:00Z</dcterms:created>
  <dcterms:modified xsi:type="dcterms:W3CDTF">2019-08-22T12:56:00Z</dcterms:modified>
</cp:coreProperties>
</file>