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F44D7">
        <w:rPr>
          <w:rFonts w:ascii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>) суммарная площадь 1 доли: 6,1га = (61000кв.м)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6.Цена 1 доли: 61000кв.м.*3,92рубля*15% = 35868 рублей.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7.Срок подачи заявки на приобретение доли (заключения договора): не п</w:t>
      </w:r>
      <w:r>
        <w:rPr>
          <w:rFonts w:eastAsia="Calibri"/>
          <w:sz w:val="28"/>
          <w:szCs w:val="28"/>
          <w:lang w:eastAsia="en-US"/>
        </w:rPr>
        <w:t>озднее 23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июля 2019 года.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sectPr w:rsidR="0021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F2"/>
    <w:rsid w:val="002167A7"/>
    <w:rsid w:val="002B0E31"/>
    <w:rsid w:val="00B758F2"/>
    <w:rsid w:val="00C01E99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1335</Characters>
  <Application>Microsoft Office Word</Application>
  <DocSecurity>0</DocSecurity>
  <Lines>11</Lines>
  <Paragraphs>3</Paragraphs>
  <ScaleCrop>false</ScaleCrop>
  <Company>*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2018-05-14T05:56:00Z</dcterms:created>
  <dcterms:modified xsi:type="dcterms:W3CDTF">2019-10-11T08:56:00Z</dcterms:modified>
</cp:coreProperties>
</file>