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98F" w:rsidRDefault="00F6298F" w:rsidP="00F6298F">
      <w:pPr>
        <w:tabs>
          <w:tab w:val="left" w:pos="9060"/>
        </w:tabs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 xml:space="preserve">    «САЛАЗГОРЬСКИЕ ВЕСТИ</w:t>
      </w:r>
      <w:r>
        <w:rPr>
          <w:rFonts w:ascii="Times New Roman" w:hAnsi="Times New Roman"/>
          <w:sz w:val="56"/>
          <w:szCs w:val="56"/>
        </w:rPr>
        <w:t>»</w:t>
      </w:r>
      <w:r>
        <w:rPr>
          <w:rFonts w:ascii="Times New Roman" w:hAnsi="Times New Roman"/>
          <w:sz w:val="56"/>
          <w:szCs w:val="56"/>
        </w:rPr>
        <w:tab/>
      </w:r>
    </w:p>
    <w:p w:rsidR="00F6298F" w:rsidRDefault="00F6298F" w:rsidP="00F6298F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___________________________________________________________________________________</w:t>
      </w:r>
    </w:p>
    <w:p w:rsidR="00F6298F" w:rsidRDefault="00F6298F" w:rsidP="00F6298F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учредители: местное самоуправление          </w:t>
      </w:r>
      <w:r w:rsidR="00532DA0">
        <w:rPr>
          <w:rFonts w:ascii="Times New Roman" w:hAnsi="Times New Roman"/>
          <w:b/>
        </w:rPr>
        <w:t xml:space="preserve">                              06 апреля </w:t>
      </w:r>
      <w:r>
        <w:rPr>
          <w:rFonts w:ascii="Times New Roman" w:hAnsi="Times New Roman"/>
          <w:b/>
        </w:rPr>
        <w:t xml:space="preserve"> 2020г.  № 1</w:t>
      </w:r>
      <w:r w:rsidR="00532DA0">
        <w:rPr>
          <w:rFonts w:ascii="Times New Roman" w:hAnsi="Times New Roman"/>
          <w:b/>
        </w:rPr>
        <w:t>1</w:t>
      </w:r>
      <w:bookmarkStart w:id="0" w:name="_GoBack"/>
      <w:bookmarkEnd w:id="0"/>
    </w:p>
    <w:p w:rsidR="00F6298F" w:rsidRDefault="00F6298F" w:rsidP="00F6298F">
      <w:r>
        <w:rPr>
          <w:rFonts w:ascii="Times New Roman" w:hAnsi="Times New Roman"/>
          <w:b/>
        </w:rPr>
        <w:t xml:space="preserve">             Салазгорьского сельского поселения                     Газета выходит с  ноября 2005года</w:t>
      </w:r>
      <w:r>
        <w:rPr>
          <w:rFonts w:ascii="Times New Roman" w:hAnsi="Times New Roman"/>
        </w:rPr>
        <w:br/>
      </w:r>
      <w:r>
        <w:t xml:space="preserve">____________________________________________________________________________________     </w:t>
      </w:r>
    </w:p>
    <w:p w:rsidR="00532DA0" w:rsidRDefault="00532DA0" w:rsidP="00532DA0">
      <w:pPr>
        <w:pStyle w:val="af5"/>
        <w:jc w:val="center"/>
        <w:rPr>
          <w:b/>
          <w:bCs/>
          <w:noProof/>
          <w:color w:val="000000"/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369570</wp:posOffset>
                </wp:positionH>
                <wp:positionV relativeFrom="paragraph">
                  <wp:posOffset>-93980</wp:posOffset>
                </wp:positionV>
                <wp:extent cx="2708275" cy="499110"/>
                <wp:effectExtent l="7620" t="10795" r="8255" b="13970"/>
                <wp:wrapNone/>
                <wp:docPr id="2" name="Горизонтальный свиток 2" descr="5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8275" cy="49911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pattFill prst="pct5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32DA0" w:rsidRDefault="00532DA0" w:rsidP="00532DA0">
                            <w:pPr>
                              <w:pStyle w:val="af5"/>
                              <w:jc w:val="center"/>
                              <w:rPr>
                                <w:rStyle w:val="a8"/>
                                <w:i/>
                              </w:rPr>
                            </w:pPr>
                            <w:r>
                              <w:rPr>
                                <w:rStyle w:val="a8"/>
                                <w:i/>
                              </w:rPr>
                              <w:t>Прокуратура разъясняет</w:t>
                            </w:r>
                          </w:p>
                          <w:p w:rsidR="00532DA0" w:rsidRDefault="00532DA0" w:rsidP="00532DA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Горизонтальный свиток 2" o:spid="_x0000_s1026" type="#_x0000_t98" alt="5%" style="position:absolute;left:0;text-align:left;margin-left:29.1pt;margin-top:-7.4pt;width:213.25pt;height:3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" fillcolor="black">
                <v:fill r:id="rId5" o:title="" type="pattern"/>
                <v:textbox>
                  <w:txbxContent>
                    <w:p w:rsidR="00532DA0" w:rsidRDefault="00532DA0" w:rsidP="00532DA0">
                      <w:pPr>
                        <w:pStyle w:val="af5"/>
                        <w:jc w:val="center"/>
                        <w:rPr>
                          <w:rStyle w:val="a8"/>
                          <w:i/>
                        </w:rPr>
                      </w:pPr>
                      <w:r>
                        <w:rPr>
                          <w:rStyle w:val="a8"/>
                          <w:i/>
                        </w:rPr>
                        <w:t>Прокуратура разъясняет</w:t>
                      </w:r>
                    </w:p>
                    <w:p w:rsidR="00532DA0" w:rsidRDefault="00532DA0" w:rsidP="00532DA0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-152400</wp:posOffset>
            </wp:positionV>
            <wp:extent cx="2806065" cy="1981200"/>
            <wp:effectExtent l="19050" t="19050" r="13335" b="19050"/>
            <wp:wrapSquare wrapText="bothSides"/>
            <wp:docPr id="1" name="Рисунок 1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1981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2DA0" w:rsidRDefault="00532DA0" w:rsidP="00532DA0">
      <w:pPr>
        <w:pStyle w:val="af5"/>
        <w:spacing w:before="0" w:beforeAutospacing="0" w:after="0" w:afterAutospacing="0"/>
        <w:ind w:firstLine="284"/>
        <w:jc w:val="both"/>
        <w:rPr>
          <w:b/>
          <w:bCs/>
          <w:noProof/>
          <w:color w:val="000000"/>
          <w:sz w:val="21"/>
          <w:szCs w:val="21"/>
        </w:rPr>
      </w:pPr>
    </w:p>
    <w:p w:rsidR="00532DA0" w:rsidRDefault="00532DA0" w:rsidP="00532DA0">
      <w:pPr>
        <w:pStyle w:val="af5"/>
        <w:spacing w:before="0" w:beforeAutospacing="0" w:after="0" w:afterAutospacing="0"/>
        <w:ind w:firstLine="284"/>
        <w:jc w:val="both"/>
        <w:rPr>
          <w:b/>
          <w:bCs/>
          <w:noProof/>
          <w:color w:val="000000"/>
          <w:sz w:val="21"/>
          <w:szCs w:val="21"/>
        </w:rPr>
      </w:pPr>
      <w:r>
        <w:rPr>
          <w:b/>
          <w:bCs/>
          <w:noProof/>
          <w:color w:val="000000"/>
          <w:sz w:val="21"/>
          <w:szCs w:val="21"/>
        </w:rPr>
        <w:t>О противодействии легализации (отмыванию) доходов, полученных преступным путем, и финансированию терроризма</w:t>
      </w:r>
    </w:p>
    <w:p w:rsidR="00532DA0" w:rsidRDefault="00532DA0" w:rsidP="00532DA0">
      <w:pPr>
        <w:pStyle w:val="af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</w:p>
    <w:p w:rsidR="00532DA0" w:rsidRDefault="00532DA0" w:rsidP="00532DA0">
      <w:pPr>
        <w:pStyle w:val="af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proofErr w:type="gramStart"/>
      <w:r>
        <w:rPr>
          <w:bCs/>
          <w:noProof/>
          <w:color w:val="000000"/>
          <w:sz w:val="18"/>
          <w:szCs w:val="18"/>
        </w:rPr>
        <w:t>Отношения граждан Российской Федерации, иностранных граждан и лиц без гражданства, организаций, осуществляющих операции с денежными средствами или иным имуществом, а также государственных органов, осуществляющих контроль на территории Российской Федерации за проведением операций с денежными средствами или иным имуществом, в целях предупреждения, выявления и пресечения деяний, связанных с легализацией (отмыванием) доходов, полученных преступным путем, и финансированием терроризма регулируются Федеральным законом от</w:t>
      </w:r>
      <w:proofErr w:type="gramEnd"/>
      <w:r>
        <w:rPr>
          <w:bCs/>
          <w:noProof/>
          <w:color w:val="000000"/>
          <w:sz w:val="18"/>
          <w:szCs w:val="18"/>
        </w:rPr>
        <w:t xml:space="preserve"> 07.08.2001 № 115-ФЗ «О противодействии легализации (отмыванию) доходов, полученных преступным путем, и финансированию терроризма» (далее – Закон).</w:t>
      </w:r>
    </w:p>
    <w:p w:rsidR="00532DA0" w:rsidRDefault="00532DA0" w:rsidP="00532DA0">
      <w:pPr>
        <w:pStyle w:val="af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t>Статья 14 указанного Закона устанавливает, что надзор за его исполнением осуществляют Генеральный прокурор РФ и подчиненные ему прокуроры. Основным направлением прокурорского надзора в данной сфере является проверка исполнения законов в деятельности органов государственного контроля. Однако, проверяя законность деятельности государственных органов, прокурор при наличии сигналов вправе проверить и подконтрольные или подведомственные им организации.</w:t>
      </w:r>
    </w:p>
    <w:p w:rsidR="00532DA0" w:rsidRDefault="00532DA0" w:rsidP="00532DA0">
      <w:pPr>
        <w:pStyle w:val="af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t>Положениями ст. 5 Закона в целях правового регулирования противодействия легализации (отмыванию) доходов, полученных преступным путем, и финансированию терроризма определен перечень организаций, осуществляющих операции с денежными средствами или иным имуществом, к которым, в том числе относятся ломбарды.</w:t>
      </w:r>
    </w:p>
    <w:p w:rsidR="00532DA0" w:rsidRDefault="00532DA0" w:rsidP="00532DA0">
      <w:pPr>
        <w:pStyle w:val="af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t>Ломбарды - специализированные коммерческие организации, основными видами деятельности которых являются предоставление краткосрочных займов гражданам и хранение вещей путем принятия в залог и на хранение движимых вещей, принадлежащих заемщику или поклажедателю и предназначенных для личного потребления.</w:t>
      </w:r>
    </w:p>
    <w:p w:rsidR="00532DA0" w:rsidRDefault="00532DA0" w:rsidP="00532DA0">
      <w:pPr>
        <w:pStyle w:val="af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t>Для целей Закона ломбарды рассматриваются именно в качестве организаций, осуществляющих кредитование населения путем заключения договоров займа. Договор займа оформляется выдачей ломбардом заемщику залогового билета, который должен содержать информацию, четко определенную Федеральным законом от 19.07.2007 № 196-ФЗ «О ломбардах». К данной информации в первую очередь относятся дата и срок предоставления займа, сумма заложенной вещи и сумма предоставляемого займа, а также фамилия, имя, отчество и паспортные данные заемщика.</w:t>
      </w:r>
    </w:p>
    <w:p w:rsidR="00532DA0" w:rsidRDefault="00532DA0" w:rsidP="00532DA0">
      <w:pPr>
        <w:pStyle w:val="af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t>Перечень обязательных мер, направленных на противодействие легализации (отмыванию) доходов, полученных преступным путем, и финансированию терроризма определен в статье 4 Закона. В первую очередь к таким мерам законодатель относит обязательные процедуры внутреннего контроля, которые направлены на выявление операций, совершаемых физическими или юридическими лицами с целью легализации (отмывания) криминальных доходов или финансирования терроризма.</w:t>
      </w:r>
    </w:p>
    <w:p w:rsidR="00532DA0" w:rsidRDefault="00532DA0" w:rsidP="00532DA0">
      <w:pPr>
        <w:pStyle w:val="af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t xml:space="preserve">Совершение сделок с необоснованно большим количеством звеньев, не имеющих экономического смысла, а равно носящих необычный характер, дают основания полагать, что данные операции совершаются в нарушение закона. Помимо выявления противозаконных сделок внутренний контроль предусматривает фиксирование и дальнейшее хранение полной информации касаемо проведенной операции (дата, сумма, основание), а также сведений об ее участниках, будь то физические или юридические лица. </w:t>
      </w:r>
      <w:proofErr w:type="gramStart"/>
      <w:r>
        <w:rPr>
          <w:bCs/>
          <w:noProof/>
          <w:color w:val="000000"/>
          <w:sz w:val="18"/>
          <w:szCs w:val="18"/>
        </w:rPr>
        <w:t>Учет и хранение данной информации позволяют оперативно восстановить сведения о совершенной операции, в случае возникновения оснований полагать о ее нелегитимности.</w:t>
      </w:r>
      <w:proofErr w:type="gramEnd"/>
    </w:p>
    <w:p w:rsidR="00532DA0" w:rsidRDefault="00532DA0" w:rsidP="00532DA0">
      <w:pPr>
        <w:pStyle w:val="af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t>Полный перечень процедур внутреннего контроля и порядок его осуществления закрепляются в правилах внутреннего контроля, которые должны быть в обязательном порядке разработаны в организациях, осуществляющих операции с денежными средствами или иным имуществом. Во вновь создаваемых организациях, осуществляющих операции с денежными средствами или иным имуществом, такие правила должны утверждаться руководителями организаций в течение 1 месяца со дня их государственной регистрации в установленном порядке.</w:t>
      </w:r>
    </w:p>
    <w:p w:rsidR="00532DA0" w:rsidRDefault="00532DA0" w:rsidP="00532DA0">
      <w:pPr>
        <w:pStyle w:val="af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proofErr w:type="gramStart"/>
      <w:r>
        <w:rPr>
          <w:bCs/>
          <w:noProof/>
          <w:color w:val="000000"/>
          <w:sz w:val="18"/>
          <w:szCs w:val="18"/>
        </w:rPr>
        <w:t>Правила внутреннего контроля организаций (за исключением кредитных организаций) должны быть разработаны с учетом требований ч. 2 ст. 7 Закона, а также Рекомендаций по разработке организациями, совершающими операции с денежными средствами или иным имуществом, правил внутреннего контроля в целях противодействия легализации (отмыванию) доходов, полученных преступным путем, и финансированию терроризма, утвержденных распоряжением Правительства РФ от 17.07.2002 № 983-р.</w:t>
      </w:r>
      <w:proofErr w:type="gramEnd"/>
    </w:p>
    <w:p w:rsidR="00532DA0" w:rsidRDefault="00532DA0" w:rsidP="00532DA0">
      <w:pPr>
        <w:pStyle w:val="af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lastRenderedPageBreak/>
        <w:t>Согласование правил осуществляется территориальными органами Росфинмониторинга, действующими на территории соответствующих федеральных округов, по месту государственной регистрации организации.</w:t>
      </w:r>
    </w:p>
    <w:p w:rsidR="00532DA0" w:rsidRDefault="00532DA0" w:rsidP="00532DA0">
      <w:pPr>
        <w:pStyle w:val="af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t>В любое время с момента приема документов для согласования правил представитель организации имеет право на получение сведений о ходе исполнения государственной функции посредством телефонной связи, электронной почты или при личном посещении территориального органа Росфинмониторинга.</w:t>
      </w:r>
    </w:p>
    <w:p w:rsidR="00532DA0" w:rsidRDefault="00532DA0" w:rsidP="00532DA0">
      <w:pPr>
        <w:pStyle w:val="af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t>Для получения сведений о ходе исполнения государственной функции представителем организации сообщается полное наименование организации, а также дата представления документов (при представлении документов лично) или дата направления документов при их направлении заказным почтовым отправлением с уведомлением о вручении (фельдсвязью, спецсвязью). Представителю организации предоставляются сведения о том, на каком этапе согласования находится представленный им пакет документов.</w:t>
      </w:r>
    </w:p>
    <w:p w:rsidR="00532DA0" w:rsidRDefault="00532DA0" w:rsidP="00532DA0">
      <w:pPr>
        <w:pStyle w:val="af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t>В соответствии со ст. 13 Закона лица, виновные в нарушении требований Федерального закона, несут административную, гражданскую и уголовную ответственность в соответствии с законодательством Российской Федерации.</w:t>
      </w:r>
    </w:p>
    <w:p w:rsidR="00532DA0" w:rsidRDefault="00532DA0" w:rsidP="00532DA0">
      <w:pPr>
        <w:pStyle w:val="af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t>В частности, отсутствие разработанных и утвержденных в установленном порядке правил внутреннего контроля и программ его осуществления образует состав административного правонарушения, предусмотренного ст. 15.27 КоАП РФ (нарушение законодательства о противодействии легализации (отмыванию) доходов, полученных преступным путем, и финансированию терроризма).</w:t>
      </w:r>
    </w:p>
    <w:p w:rsidR="00532DA0" w:rsidRDefault="00532DA0" w:rsidP="00532DA0">
      <w:pPr>
        <w:pStyle w:val="af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</w:p>
    <w:p w:rsidR="00F6298F" w:rsidRDefault="00F6298F" w:rsidP="00F6298F">
      <w:pPr>
        <w:rPr>
          <w:rFonts w:ascii="Helvetica" w:hAnsi="Helvetica"/>
          <w:sz w:val="26"/>
          <w:szCs w:val="26"/>
          <w:shd w:val="clear" w:color="auto" w:fill="F4F4F4"/>
        </w:rPr>
      </w:pPr>
    </w:p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F6298F" w:rsidTr="00F6298F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298F" w:rsidRDefault="00F6298F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Главный редактор:</w:t>
            </w:r>
          </w:p>
          <w:p w:rsidR="00F6298F" w:rsidRDefault="00F6298F">
            <w:pPr>
              <w:snapToGrid w:val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Глава Салазгорьского сельского поселения Торбеевского муниципальго района Республики Мордовия  Солдатова Г.П.</w:t>
            </w:r>
          </w:p>
          <w:p w:rsidR="00F6298F" w:rsidRDefault="00F6298F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298F" w:rsidRDefault="00F6298F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   Учредители:</w:t>
            </w:r>
          </w:p>
          <w:p w:rsidR="00F6298F" w:rsidRDefault="00F6298F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298F" w:rsidRDefault="00F6298F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        НАШ АДРЕС:</w:t>
            </w:r>
          </w:p>
          <w:p w:rsidR="00F6298F" w:rsidRDefault="00F6298F">
            <w:pPr>
              <w:snapToGrid w:val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431045 РМ Торбеевский район с</w:t>
            </w:r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.С</w:t>
            </w:r>
            <w:proofErr w:type="gramEnd"/>
            <w:r>
              <w:rPr>
                <w:rFonts w:ascii="Times New Roman" w:hAnsi="Times New Roman"/>
                <w:b/>
                <w:sz w:val="18"/>
                <w:szCs w:val="18"/>
              </w:rPr>
              <w:t>алазгорь,.Кооперативная, д.7</w:t>
            </w:r>
          </w:p>
          <w:p w:rsidR="00F6298F" w:rsidRDefault="00F6298F">
            <w:pPr>
              <w:snapToGrid w:val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Телефон:2-48-37   </w:t>
            </w:r>
          </w:p>
          <w:p w:rsidR="00F6298F" w:rsidRDefault="00F6298F">
            <w:pPr>
              <w:snapToGrid w:val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ad-salazgor2012@yandex.ru</w:t>
            </w:r>
          </w:p>
        </w:tc>
      </w:tr>
    </w:tbl>
    <w:p w:rsidR="00F6298F" w:rsidRDefault="00F6298F" w:rsidP="00F6298F">
      <w:pPr>
        <w:jc w:val="both"/>
        <w:rPr>
          <w:sz w:val="21"/>
          <w:szCs w:val="21"/>
        </w:rPr>
      </w:pPr>
    </w:p>
    <w:p w:rsidR="00F6298F" w:rsidRDefault="00F6298F" w:rsidP="00F6298F">
      <w:pPr>
        <w:jc w:val="both"/>
      </w:pPr>
    </w:p>
    <w:p w:rsidR="003933CF" w:rsidRPr="00DF3BC5" w:rsidRDefault="003933CF" w:rsidP="00DF3BC5"/>
    <w:sectPr w:rsidR="003933CF" w:rsidRPr="00DF3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987"/>
    <w:rsid w:val="00157987"/>
    <w:rsid w:val="002E4E42"/>
    <w:rsid w:val="003933CF"/>
    <w:rsid w:val="00413D5D"/>
    <w:rsid w:val="00532DA0"/>
    <w:rsid w:val="006B72CD"/>
    <w:rsid w:val="00A866E8"/>
    <w:rsid w:val="00AE10F6"/>
    <w:rsid w:val="00DF3BC5"/>
    <w:rsid w:val="00F529AD"/>
    <w:rsid w:val="00F62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2CD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Theme="minorHAnsi" w:eastAsiaTheme="minorEastAsia" w:hAnsiTheme="minorHAnsi" w:cstheme="minorBidi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Theme="majorHAnsi" w:eastAsiaTheme="majorEastAsia" w:hAnsiTheme="majorHAnsi" w:cstheme="majorBid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b/>
      <w:bCs/>
      <w:sz w:val="20"/>
      <w:szCs w:val="20"/>
      <w:lang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i/>
      <w:iCs/>
      <w:color w:val="000000" w:themeColor="text1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Times New Roman" w:eastAsiaTheme="minorEastAsia" w:hAnsi="Times New Roman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semiHidden/>
    <w:unhideWhenUsed/>
    <w:rsid w:val="006B72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2CD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Theme="minorHAnsi" w:eastAsiaTheme="minorEastAsia" w:hAnsiTheme="minorHAnsi" w:cstheme="minorBidi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Theme="majorHAnsi" w:eastAsiaTheme="majorEastAsia" w:hAnsiTheme="majorHAnsi" w:cstheme="majorBid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b/>
      <w:bCs/>
      <w:sz w:val="20"/>
      <w:szCs w:val="20"/>
      <w:lang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i/>
      <w:iCs/>
      <w:color w:val="000000" w:themeColor="text1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Times New Roman" w:eastAsiaTheme="minorEastAsia" w:hAnsi="Times New Roman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semiHidden/>
    <w:unhideWhenUsed/>
    <w:rsid w:val="006B72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0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okuvshinnikov.ru/images/cms/news2/1476278510_prok-2.jp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1011</Words>
  <Characters>5765</Characters>
  <Application>Microsoft Office Word</Application>
  <DocSecurity>0</DocSecurity>
  <Lines>48</Lines>
  <Paragraphs>13</Paragraphs>
  <ScaleCrop>false</ScaleCrop>
  <Company/>
  <LinksUpToDate>false</LinksUpToDate>
  <CharactersWithSpaces>6763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13</cp:revision>
  <dcterms:created xsi:type="dcterms:W3CDTF">2020-04-06T06:45:00Z</dcterms:created>
  <dcterms:modified xsi:type="dcterms:W3CDTF">2020-04-06T06:58:00Z</dcterms:modified>
</cp:coreProperties>
</file>