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C146A7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C146A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C146A7" w:rsidRDefault="00C146A7" w:rsidP="00C146A7">
      <w:pPr>
        <w:pStyle w:val="a4"/>
        <w:jc w:val="center"/>
        <w:rPr>
          <w:b/>
          <w:bCs/>
          <w:noProof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427990</wp:posOffset>
                </wp:positionH>
                <wp:positionV relativeFrom="paragraph">
                  <wp:posOffset>-290830</wp:posOffset>
                </wp:positionV>
                <wp:extent cx="2708275" cy="499110"/>
                <wp:effectExtent l="12700" t="11430" r="12700" b="13335"/>
                <wp:wrapNone/>
                <wp:docPr id="2" name="AutoShape 3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46A7" w:rsidRPr="008D4F2C" w:rsidRDefault="00C146A7" w:rsidP="00C146A7">
                            <w:pPr>
                              <w:pStyle w:val="a4"/>
                              <w:jc w:val="center"/>
                              <w:rPr>
                                <w:rStyle w:val="ae"/>
                                <w:i/>
                              </w:rPr>
                            </w:pPr>
                            <w:r>
                              <w:rPr>
                                <w:rStyle w:val="ae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C146A7" w:rsidRDefault="00C146A7" w:rsidP="00C146A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3" o:spid="_x0000_s1026" type="#_x0000_t98" alt="5%" style="position:absolute;left:0;text-align:left;margin-left:33.7pt;margin-top:-22.9pt;width:213.25pt;height:3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" fillcolor="black">
                <v:fill r:id="rId5" o:title="" type="pattern"/>
                <v:textbox>
                  <w:txbxContent>
                    <w:p w:rsidR="00C146A7" w:rsidRPr="008D4F2C" w:rsidRDefault="00C146A7" w:rsidP="00C146A7">
                      <w:pPr>
                        <w:pStyle w:val="a4"/>
                        <w:jc w:val="center"/>
                        <w:rPr>
                          <w:rStyle w:val="ae"/>
                          <w:i/>
                        </w:rPr>
                      </w:pPr>
                      <w:r>
                        <w:rPr>
                          <w:rStyle w:val="ae"/>
                          <w:i/>
                        </w:rPr>
                        <w:t>Из практики прокуратуры района</w:t>
                      </w:r>
                    </w:p>
                    <w:p w:rsidR="00C146A7" w:rsidRDefault="00C146A7" w:rsidP="00C146A7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0" b="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6A7" w:rsidRDefault="00C146A7" w:rsidP="00C146A7">
      <w:pPr>
        <w:pStyle w:val="a4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</w:p>
    <w:p w:rsidR="00C146A7" w:rsidRPr="007F388F" w:rsidRDefault="00C146A7" w:rsidP="00C146A7">
      <w:pPr>
        <w:ind w:firstLine="720"/>
        <w:jc w:val="center"/>
        <w:rPr>
          <w:b/>
        </w:rPr>
      </w:pPr>
      <w:r>
        <w:rPr>
          <w:b/>
        </w:rPr>
        <w:t>Проверкой выявлены нарушения при эксплуатации газовых сетей</w:t>
      </w:r>
      <w:r w:rsidRPr="007F388F">
        <w:rPr>
          <w:b/>
        </w:rPr>
        <w:t xml:space="preserve"> </w:t>
      </w:r>
    </w:p>
    <w:p w:rsidR="00C146A7" w:rsidRPr="007F388F" w:rsidRDefault="00C146A7" w:rsidP="00C146A7">
      <w:pPr>
        <w:ind w:firstLine="720"/>
        <w:jc w:val="center"/>
      </w:pP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t>Проведенной прокуратурой района проверкой деятельности филиала АО «Газпром распределение Саранск» в р.п. Зубово-Поляна на территории поселка Торбеево выявлены нарушения при обеспечении безопасной эксплуатации газопроводов и иного находящегося на балансе газового оборудования.</w:t>
      </w: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t>Вопреки требованиям статьи 32 Федерального закона от 31.03.1999 № 69-ФЗ «О газоснабжении в Российской Федерации», статей 7, 8 и 9 Федерального закона от 21.07.1997 № 116-ФЗ «О промышленной безопасности опасных производственных объектов» (далее - Федеральный закон № 116-ФЗ), пунктов 4 и 9 Федеральных норм и правил в области промышленной безопасности «Правила безопасности сетей газораспределения и газопотребления» (далее - ФНиП), пунктов 72 и 95 Технического регламента о безопасности сетей газораспределения и газопотребления, утвержденного постановлением Правительства РФ от 29.10.2010 № 870 (далее Технический регламент), в исполнительной документации на ГРПШ №№ 4 и 5, расположенных по ул. Садовая и Б.Хмельницкового, отсутствует технико-эксплуатационная документация изготовителя технических и технологических устройств (инструкции по эксплуатации и монтажу), в которых указаны виды, объем и сроки проведения технического обслуживания, текущего ремонта и наладки технологических устройств, установленных в ГРШП, а именно фильтр ФГВ-50, манометры МП.</w:t>
      </w: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t xml:space="preserve">В нарушение статьи 9 Федерального закона № 116-ФЗ, пунктов 4 и 9 ФНиП, пунктов 2 и 14 Технического регламента с установленной периодичностью не проводится техническое обслуживание запорного устройства газопровода низкого давления, расположенного на территории дома № 3 по ул.Сельхозтехника). </w:t>
      </w: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lastRenderedPageBreak/>
        <w:t>Проведенным осмотром также выявлено неудовлетворительное состояние находящихся в эксплуатации филиала газопроводов, проходящих по улицам Садовая, Акиняева, Мира, Б.Хмельницкого и Сельхозтехника п.Торбеево. Так, в нарушение требований пунктов 68, 70 Технического регламента о безопасности сетей газораспределения и газопотребления, утвержденного постановлением Правительства РФ от 29.10.2010 № 870, пунктов 5.1.1, 6.2.1, 6.2.7 и 6.3.1 «ГОСТ Р 54983-2012. Национальный стандарт Российской Федерации. Системы газораспределительные. Сети газораспределения природного газа. Общие требования к эксплуатации. Эксплуатационная документация» при технической эксплуатации сетей газораспределения ненадлежащим образом проводится мониторинг их технического состояния и ремонт, что привело к существенному повреждению лакокрасочного слоя и коррозии металла надземного газопровода (по ул.Б.Хмельницкого, возле д.5; ул.Садовая, д.4, ул. Сельхозтехника и др.).</w:t>
      </w: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t xml:space="preserve">В охранной зоне наружного газопровода у дома № 2 по ул. Мира имеются растущие деревья, нависающие непосредственно над газопроводом. что является нарушением требований подпунктов «а,е» пункта 7 Правил охраны газораспределительных сетей, утвержденных постановлением Правительства РФ от 20.11.2000 № 878, п.11 «СП 62.13330.2011*. Свод правил. Газораспределительные системы. Актуализированная редакция СНиП 42-01-2002». Часть сети по ул.Садовая и ул.Сельхозтехника заросла древесно-кустарниковой растительностью. </w:t>
      </w: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t>Также выявлены нарушения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№ 1314 (далее Правила № 1314). Вопреки требованиям части 7 статьи 48 Градостроительного кодекса Российской Федерации, п.29 Правил № 1314, срок действия технических условий № 14 и № 15 от 20.02.2020, № 52-56 от 14.05.2020, выданных по запросу администрации Торбеевского городского поселения, составляет 24 месяца, вместо 70 дней, информация о плате за такое подключение (технологическое присоединение) не предоставлена. До настоящего времени не дан ответ о рассмотрении запроса администрации Торбеевского городского поселения от 16.06.2020 № 404, с нарушением установленного срока даны ответы на запросы от 25.03.2020 № 213 и № 222 (ТУ № 53 и № 56 от 14.05.2020).</w:t>
      </w:r>
    </w:p>
    <w:p w:rsidR="00C146A7" w:rsidRPr="00C146A7" w:rsidRDefault="00C146A7" w:rsidP="00C146A7">
      <w:pPr>
        <w:tabs>
          <w:tab w:val="left" w:pos="5026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6A7">
        <w:rPr>
          <w:rFonts w:ascii="Times New Roman" w:hAnsi="Times New Roman" w:cs="Times New Roman"/>
          <w:sz w:val="24"/>
          <w:szCs w:val="24"/>
        </w:rPr>
        <w:t>В целях устранения нарушений в адрес руководителя филиала внесено представление, рассмотрение которого находится на контроле прокуратуры.</w:t>
      </w: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146A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146A7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qFormat/>
    <w:rsid w:val="00C146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e">
    <w:name w:val="Strong"/>
    <w:qFormat/>
    <w:rsid w:val="00C146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okuvshinnikov.ru/images/cms/news2/1476278510_prok-2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2020-08-19T09:24:00Z</cp:lastPrinted>
  <dcterms:created xsi:type="dcterms:W3CDTF">2020-08-19T09:24:00Z</dcterms:created>
  <dcterms:modified xsi:type="dcterms:W3CDTF">2020-08-19T09:24:00Z</dcterms:modified>
</cp:coreProperties>
</file>