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CF7" w:rsidRPr="00EE3CF7" w:rsidRDefault="00EE3CF7" w:rsidP="00EE3CF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CF7">
        <w:rPr>
          <w:rFonts w:ascii="Times New Roman" w:hAnsi="Times New Roman" w:cs="Times New Roman"/>
          <w:b/>
          <w:sz w:val="28"/>
          <w:szCs w:val="28"/>
        </w:rPr>
        <w:t>АДМИНИСТРАЦИЯ СУРГОДЬСКОГО СЕЛЬСКОГО ПОСЕЛЕНИЯ               ТОРБЕЕВСКОГО МУНИЦИПАЛЬНОГО РАЙОНА                                   РЕСПУБЛИКИ МОРДОВИЯ</w:t>
      </w:r>
    </w:p>
    <w:p w:rsidR="00EE3CF7" w:rsidRPr="00EE3CF7" w:rsidRDefault="00EE3CF7" w:rsidP="00EE3CF7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34391B" w:rsidRDefault="00EE3CF7" w:rsidP="00EE3CF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546C">
        <w:rPr>
          <w:rFonts w:ascii="Times New Roman" w:hAnsi="Times New Roman" w:cs="Times New Roman"/>
          <w:b/>
          <w:sz w:val="32"/>
          <w:szCs w:val="32"/>
        </w:rPr>
        <w:t xml:space="preserve">ПОСТАНОВЛЕНИЕ     </w:t>
      </w:r>
    </w:p>
    <w:p w:rsidR="00EE3CF7" w:rsidRPr="0034391B" w:rsidRDefault="003D48E1" w:rsidP="00EE3C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 w:rsidR="00EE546C" w:rsidRPr="003439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="00EE3CF7" w:rsidRPr="0034391B">
        <w:rPr>
          <w:rFonts w:ascii="Times New Roman" w:hAnsi="Times New Roman" w:cs="Times New Roman"/>
          <w:sz w:val="28"/>
          <w:szCs w:val="28"/>
        </w:rPr>
        <w:t xml:space="preserve"> 2020</w:t>
      </w:r>
      <w:r w:rsidR="00EE546C" w:rsidRPr="0034391B">
        <w:rPr>
          <w:rFonts w:ascii="Times New Roman" w:hAnsi="Times New Roman" w:cs="Times New Roman"/>
          <w:sz w:val="28"/>
          <w:szCs w:val="28"/>
        </w:rPr>
        <w:t xml:space="preserve"> года</w:t>
      </w:r>
      <w:r w:rsidR="00EE3CF7" w:rsidRPr="0034391B">
        <w:rPr>
          <w:rFonts w:ascii="Times New Roman" w:hAnsi="Times New Roman" w:cs="Times New Roman"/>
          <w:sz w:val="28"/>
          <w:szCs w:val="28"/>
        </w:rPr>
        <w:t xml:space="preserve">         </w:t>
      </w:r>
      <w:r w:rsidR="0034391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E3CF7" w:rsidRPr="0034391B">
        <w:rPr>
          <w:rFonts w:ascii="Times New Roman" w:hAnsi="Times New Roman" w:cs="Times New Roman"/>
          <w:sz w:val="28"/>
          <w:szCs w:val="28"/>
        </w:rPr>
        <w:t xml:space="preserve">       с.Сургодь                                №</w:t>
      </w:r>
      <w:r w:rsidR="00EE546C" w:rsidRPr="0034391B">
        <w:rPr>
          <w:rFonts w:ascii="Times New Roman" w:hAnsi="Times New Roman" w:cs="Times New Roman"/>
          <w:sz w:val="28"/>
          <w:szCs w:val="28"/>
        </w:rPr>
        <w:t>52</w:t>
      </w:r>
    </w:p>
    <w:p w:rsidR="00EE3CF7" w:rsidRPr="00EE3CF7" w:rsidRDefault="00EE3CF7" w:rsidP="00EE3CF7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EE3CF7" w:rsidRPr="00EE3CF7" w:rsidRDefault="00EE3CF7" w:rsidP="00EE3CF7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E3CF7">
        <w:rPr>
          <w:rFonts w:ascii="Times New Roman" w:hAnsi="Times New Roman" w:cs="Times New Roman"/>
          <w:sz w:val="28"/>
          <w:szCs w:val="28"/>
        </w:rPr>
        <w:t>Об утверждении основных направлени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EE3CF7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Сургодьского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EE3CF7">
        <w:rPr>
          <w:rFonts w:ascii="Times New Roman" w:hAnsi="Times New Roman" w:cs="Times New Roman"/>
          <w:sz w:val="28"/>
          <w:szCs w:val="28"/>
        </w:rPr>
        <w:t xml:space="preserve"> на 2021 год  и плановы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E3CF7">
        <w:rPr>
          <w:rFonts w:ascii="Times New Roman" w:hAnsi="Times New Roman" w:cs="Times New Roman"/>
          <w:sz w:val="28"/>
          <w:szCs w:val="28"/>
        </w:rPr>
        <w:t xml:space="preserve"> период 2022-2023 </w:t>
      </w:r>
      <w:r>
        <w:rPr>
          <w:rFonts w:ascii="Times New Roman" w:hAnsi="Times New Roman" w:cs="Times New Roman"/>
          <w:sz w:val="28"/>
          <w:szCs w:val="28"/>
        </w:rPr>
        <w:t>годов</w:t>
      </w:r>
    </w:p>
    <w:p w:rsidR="00EE3CF7" w:rsidRPr="00EE3CF7" w:rsidRDefault="00EE3CF7" w:rsidP="00EE3CF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E3CF7" w:rsidRPr="00EE3CF7" w:rsidRDefault="00EE3CF7" w:rsidP="00EE3CF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E3CF7" w:rsidRPr="00EE3CF7" w:rsidRDefault="00EE3CF7" w:rsidP="00EE3CF7">
      <w:pPr>
        <w:pStyle w:val="1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EE3CF7">
        <w:rPr>
          <w:rFonts w:ascii="Times New Roman" w:hAnsi="Times New Roman"/>
          <w:b w:val="0"/>
          <w:sz w:val="28"/>
          <w:szCs w:val="28"/>
        </w:rPr>
        <w:t>В соответствии со ст.172,184,1 БК РФ, статьей 36 Устава Сургодьского сельского поселения, решением Совета депутатов Сургодьского сельского поселения №21 от 19.09.2014 г. "О бюджетном процессе в Сургодьском сельском поселении Торбеевского муниципального района», администрация Сургодьского сельского поселения постановляет:</w:t>
      </w:r>
    </w:p>
    <w:p w:rsidR="00EE3CF7" w:rsidRPr="00EE3CF7" w:rsidRDefault="00EE3CF7" w:rsidP="00EE3CF7">
      <w:pPr>
        <w:pStyle w:val="1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</w:p>
    <w:p w:rsidR="00EE3CF7" w:rsidRPr="00EE3CF7" w:rsidRDefault="00EE3CF7" w:rsidP="00EE3CF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E3CF7" w:rsidRPr="00EE3CF7" w:rsidRDefault="00EE3CF7" w:rsidP="00EE3CF7">
      <w:pPr>
        <w:pStyle w:val="ConsPlusTitle"/>
        <w:widowControl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E3CF7">
        <w:rPr>
          <w:rFonts w:ascii="Times New Roman" w:hAnsi="Times New Roman" w:cs="Times New Roman"/>
          <w:b w:val="0"/>
          <w:sz w:val="28"/>
          <w:szCs w:val="28"/>
        </w:rPr>
        <w:t xml:space="preserve">1.Утвердить основные направления бюджетной и налоговой политики Сургодьского 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Торбеевского муниципального района</w:t>
      </w:r>
      <w:r w:rsidRPr="00EE3CF7">
        <w:rPr>
          <w:rFonts w:ascii="Times New Roman" w:hAnsi="Times New Roman" w:cs="Times New Roman"/>
          <w:b w:val="0"/>
          <w:sz w:val="28"/>
          <w:szCs w:val="28"/>
        </w:rPr>
        <w:t xml:space="preserve"> на 2021 год  и плановы</w:t>
      </w:r>
      <w:r>
        <w:rPr>
          <w:rFonts w:ascii="Times New Roman" w:hAnsi="Times New Roman" w:cs="Times New Roman"/>
          <w:b w:val="0"/>
          <w:sz w:val="28"/>
          <w:szCs w:val="28"/>
        </w:rPr>
        <w:t>й</w:t>
      </w:r>
      <w:r w:rsidRPr="00EE3CF7">
        <w:rPr>
          <w:rFonts w:ascii="Times New Roman" w:hAnsi="Times New Roman" w:cs="Times New Roman"/>
          <w:b w:val="0"/>
          <w:sz w:val="28"/>
          <w:szCs w:val="28"/>
        </w:rPr>
        <w:t xml:space="preserve"> период 2022-2023 г</w:t>
      </w:r>
      <w:r>
        <w:rPr>
          <w:rFonts w:ascii="Times New Roman" w:hAnsi="Times New Roman" w:cs="Times New Roman"/>
          <w:b w:val="0"/>
          <w:sz w:val="28"/>
          <w:szCs w:val="28"/>
        </w:rPr>
        <w:t>одов</w:t>
      </w:r>
      <w:r w:rsidRPr="00EE3CF7">
        <w:rPr>
          <w:rFonts w:ascii="Times New Roman" w:hAnsi="Times New Roman" w:cs="Times New Roman"/>
          <w:b w:val="0"/>
          <w:sz w:val="28"/>
          <w:szCs w:val="28"/>
        </w:rPr>
        <w:t xml:space="preserve"> согласно приложению.</w:t>
      </w:r>
    </w:p>
    <w:p w:rsidR="00EE3CF7" w:rsidRPr="00EE3CF7" w:rsidRDefault="00EE3CF7" w:rsidP="00EE3CF7">
      <w:pPr>
        <w:tabs>
          <w:tab w:val="left" w:pos="465"/>
          <w:tab w:val="center" w:pos="49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E3CF7">
        <w:rPr>
          <w:rFonts w:ascii="Times New Roman" w:hAnsi="Times New Roman" w:cs="Times New Roman"/>
          <w:sz w:val="28"/>
          <w:szCs w:val="28"/>
        </w:rPr>
        <w:t xml:space="preserve">         2.Настоящее постановление  вступает в  силу со дня его официального опубликования в информационном бюллетене «Сельские вести» и подлежит размещению на официальном сайте  администрации Торбеевского муниципального района  </w:t>
      </w:r>
      <w:hyperlink r:id="rId4" w:history="1">
        <w:r w:rsidRPr="00EE3CF7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torbeevo.e-mordovia.ru</w:t>
        </w:r>
      </w:hyperlink>
      <w:r w:rsidRPr="00EE3CF7">
        <w:rPr>
          <w:rFonts w:ascii="Times New Roman" w:hAnsi="Times New Roman" w:cs="Times New Roman"/>
          <w:sz w:val="28"/>
          <w:szCs w:val="28"/>
        </w:rPr>
        <w:t xml:space="preserve">  на странице Сургодьского сельского поселения.</w:t>
      </w:r>
    </w:p>
    <w:p w:rsidR="00EE3CF7" w:rsidRPr="00EE3CF7" w:rsidRDefault="00EE3CF7" w:rsidP="00EE3CF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E3CF7" w:rsidRPr="00EE3CF7" w:rsidRDefault="00EE3CF7" w:rsidP="00EE3CF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E3CF7" w:rsidRPr="00EE3CF7" w:rsidRDefault="00EE3CF7" w:rsidP="00EE3CF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E3CF7">
        <w:rPr>
          <w:rFonts w:ascii="Times New Roman" w:hAnsi="Times New Roman" w:cs="Times New Roman"/>
          <w:sz w:val="28"/>
          <w:szCs w:val="28"/>
        </w:rPr>
        <w:t xml:space="preserve">Глава Сургодьского сельского поселения                            Ф.Т.Эртуганов                                  </w:t>
      </w:r>
    </w:p>
    <w:p w:rsidR="00EE3CF7" w:rsidRDefault="00EE3CF7" w:rsidP="00EE3CF7">
      <w:pPr>
        <w:pStyle w:val="ConsPlusNormal"/>
        <w:widowControl/>
        <w:ind w:left="59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E3CF7" w:rsidRDefault="00EE3CF7" w:rsidP="00EF19B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3CF7" w:rsidRDefault="00EE3CF7" w:rsidP="00EF19B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3CF7" w:rsidRDefault="00EE3CF7" w:rsidP="00EF19B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3CF7" w:rsidRDefault="00EE3CF7" w:rsidP="00EF19B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3CF7" w:rsidRDefault="00EE3CF7" w:rsidP="00EF19B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3CF7" w:rsidRDefault="00EE3CF7" w:rsidP="00EF19B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3CF7" w:rsidRDefault="00EE3CF7" w:rsidP="00EF19B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3CF7" w:rsidRDefault="00EE3CF7" w:rsidP="00EF19B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3CF7" w:rsidRDefault="00EE3CF7" w:rsidP="00EF19B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3CF7" w:rsidRDefault="00EE3CF7" w:rsidP="00EF19B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19BE" w:rsidRPr="00D91108" w:rsidRDefault="00EF19BE" w:rsidP="00EF19B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Основные направления бюджетной и налоговой политики</w:t>
      </w:r>
    </w:p>
    <w:p w:rsidR="00EF19BE" w:rsidRPr="00D91108" w:rsidRDefault="00D91108" w:rsidP="00EF19B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Сургодьского</w:t>
      </w:r>
      <w:r w:rsidR="00EF19BE" w:rsidRPr="00D91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r w:rsidR="00EF19BE" w:rsidRPr="00D91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на 2021 год и на плановый период 2022 и 2023 годов</w:t>
      </w:r>
      <w:bookmarkStart w:id="0" w:name="Par24"/>
      <w:bookmarkEnd w:id="0"/>
    </w:p>
    <w:p w:rsidR="00EF19BE" w:rsidRPr="00D91108" w:rsidRDefault="00EF19BE" w:rsidP="00D911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направления бюджетной и налоговой политики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 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 на 2021 год и на плановый период 2022 и 2023 годов определяют на ближайший трехлетний период базовые принципы, условия и подходы, используемые при составлении бюджета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2021 год и на плановый период 2022 и 2023 годов.</w:t>
      </w:r>
      <w:proofErr w:type="gramEnd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формирование осуществлялось в новых экономических условиях, складывающихся на фоне ситуации вызванной распространением новой коронавирусной инфекции и принятием мер по устранению ее последствий.</w:t>
      </w:r>
    </w:p>
    <w:p w:rsidR="00EF19BE" w:rsidRPr="00D91108" w:rsidRDefault="00EF19BE" w:rsidP="00EF19B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Основные направления бюджетной политики </w:t>
      </w:r>
      <w:r w:rsidR="00D91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 </w:t>
      </w:r>
      <w:r w:rsidR="00D91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на 2021 год </w:t>
      </w:r>
      <w:r w:rsidR="00D91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</w:t>
      </w:r>
      <w:r w:rsidRPr="00D91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на плановый период 2022 и 2023 годов</w:t>
      </w:r>
    </w:p>
    <w:p w:rsidR="00EF19BE" w:rsidRPr="00D91108" w:rsidRDefault="00D91108" w:rsidP="00D911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19BE"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2020 году меры по ограничению распространения новой коронавирусной инфекции привели к снижению деловой активности и, как следствие, к снижению налоговых и неналоговых доходов в бюджет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="00EF19BE"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="00EF19BE"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– бюджет сельского поселения). При этом уровень недополученных доходов бюджета сельского поселения будет зависеть от продолжительности карантинных мер, объема принимаемых мер государственной поддержки и их влияния на структуру отраслей экономики, длительности цикла восстановления деятельности пострадавших хозяйствующих субъектов.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таких достаточно сложных экономических условиях основными ориентирами и приоритетами бюджетной политики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являются сохранение сбалансированности и финансовой устойчивости бюджетной системы сельского поселения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обеспечение достижения национальных целей развития Российской Федерации, направленных на повышение уровня жизни граждан, создание комфортных условий для их проживания, обеспечение достойного эффективного труда людей и успешное предпринимательство.</w:t>
      </w:r>
      <w:proofErr w:type="gramEnd"/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направлениями бюджетной политики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среднесрочной перспективе являются: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1)обеспечение устойчивости и сбалансированности бюджета, сохранение долговой устойчивости в условиях ухудшения экономической ситуации, связанной с распространением новой коронавирусной инфекции, и падения собственных доходов;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2)концентрация финансовых ресурсов на достижении целей, показателей и результатов региональных проектов, направленных на достижение соответствующих результатов федеральных проектов.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 целей региональных проектов должно быть обеспечено за счет реализации мероприятий региональных проектов, сбалансированных по срокам, ожидаемым результатам и параметрам ресурсного обеспечения.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организации эффективной системы мониторинга реализации региональных проектов необходимо обеспечить обособление мероприятий региональных проектов в качестве отдельных структурных элементов муниципальных программ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сельского поселения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учет бюджетных ассигнований на их реализацию по отдельным кодам бюджетной классификации, а также увязку направлений расходов бюджета района с результатами региональных проектов, позволяющую осуществить контроль за использованием бюджетных средств на реализацию</w:t>
      </w:r>
      <w:proofErr w:type="gramEnd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региональных проектов;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3)продолжение реализации мер, направленных на повышение эффективности и оптимизацию расходов бюджетов сельских поселений, ограничение дефицита и уровня муниципального долга.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образований. Планирование бюджетных ассигнований должно осуществляться в жесткой увязке с целями, задачами и показателями муниципальных программ, а именно: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-повышение эффективности работы с муниципальным имуществом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целях оптимизации расходов на содержание муниципального имущества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а именно: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-проведение мероприятий по изъятию, продаже или сдаче в аренду в установленном порядке излишнего, неиспользуемого или используемого не по назначению муниципального имущества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а также по постановке на учет неучтенных объектов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выявленных после проведения инвентаризации;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-проведение приватизации муниципального имущества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соответствии с прогнозным планом;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-высвобождение неэффективно используемых ресурсов для их перенаправления на решение приоритетных задач;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-недопущение роста кредиторской и дебиторской задолженности и принятие мер по их ликвидации;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 совершенствование системы финансового контроля путем: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-стандартизации контрольной деятельности в соответствии с федеральными стандартами внутреннего государственного финансового контроля, </w:t>
      </w:r>
      <w:proofErr w:type="gramStart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предусматривающую</w:t>
      </w:r>
      <w:proofErr w:type="gramEnd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единые принципы контрольной деятельности, правила планирования контрольных мероприятий, оформления и реализации их результатов;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-усиления </w:t>
      </w:r>
      <w:proofErr w:type="gramStart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требований к обоснованию муниципальных закупок, правил нормирования, обоснования начальной максимальной цены контракта и за исполнением контрактов;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-ориентации муниципального финансового контроля на оценку эффективности муниципальных ресурсов, переход с контроля над финансовыми потоками к </w:t>
      </w:r>
      <w:proofErr w:type="gramStart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 за</w:t>
      </w:r>
      <w:proofErr w:type="gramEnd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результатами их использования;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-повышение качества финансового менеджмента, осуществляемого главными администраторами средств бюджета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ограниченности бюджетных ресурсов и имеющихся рисков несбалансированности местных бюджетов необходимо усилить ответственность органов местного самоуправления за проводимую бюджетную политику в части: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соблюдения условий соглашений о мерах по социально-экономическому развитию и оздоровлению муниципальных финансов муниципальных образований;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безусловного исполнения принятых расходных обязательств;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оптимизации и повышения эффективности бюджетных расходов и увеличения собственных доходов местных бюджетов;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 результативности расходования полученных из республиканского бюджета целевых межбюджетных трансфертов и выполнения обязательств по достижению целей их предоставления;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сокращения муниципального долга.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4)обеспечение прозрачности и открытости бюджетного процесса, доступности информации о муниципальных финансах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посредством: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совершенствования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 и интерактивности;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публичных слушаний по проектам бюджета и годового отчета об исполнении бюджета;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оценки сельских поселений в части открытости бюджетных данных;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мероприятий, направленных на повышение бюджетной и финансовой грамотности населения.</w:t>
      </w:r>
    </w:p>
    <w:p w:rsidR="00EF19BE" w:rsidRPr="00D91108" w:rsidRDefault="00EF19BE" w:rsidP="00D9110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Основные направления налоговой политики </w:t>
      </w:r>
      <w:r w:rsidR="00D91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r w:rsidR="00D91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на 2021 год и на плановый период 2022 и 2023 годов</w:t>
      </w:r>
    </w:p>
    <w:p w:rsidR="00EF19BE" w:rsidRPr="00D91108" w:rsidRDefault="00EF19BE" w:rsidP="00D911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Налоговая политика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предстоящий трехлетний период стратегически увязана с обеспечением восстановительного роста и развития экономики, увеличением поступлений налоговых и неналоговых доходов бюджета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 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направлена </w:t>
      </w:r>
      <w:proofErr w:type="gramStart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укрепление доходной базы бюджета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 за счет наращивания стабильных доходных источников и мобилизации в бюджет имеющихся резервов;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администрирования налоговых доходов, подлежащих зачислению в бюджет;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собираемости налогов посредством реализации мероприятий, направленных на сокращение задолженности по налогам и сборам в бюджеты бюджетной системы Российской Федерации;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продолжение осуществления взаимодействия с органами государственной власти Республики Мордовия и территориальными органами  федеральных органов государственной власти в соответствии с Программой оздоровления государственных финансов Республики Мордовия и муниципальных финансов муниципальных образований в Республике Мордовия на 2018 - 2024 годы, утвержденной распоряжением Главы Республики Мордовия от 18 января 2013 г.№ 18-РГ.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неприменением с 1 января 2021 г. системы налогообложения в виде единого налога на вмененный доход для отдельных видов деятельности (пункт 8 статьи 5 Федерального закона от 29 июня 2012 г. N 97-ФЗ) (далее - 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ЕНВД) в 2021 году ожидается переход части индивидуальных предпринимателей на патентную систему налогообложения и как следствие увеличение налоговых поступлений по данному специальному налоговому режиму</w:t>
      </w:r>
      <w:proofErr w:type="gramEnd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Правительством Российской Федерации одобрен законопроект «О внесении изменений в статьи 346.43 и 346.51 части второй Налогового кодекса Российской Федерации», предусматривающий расширение перечня видов предпринимательской деятельности, в отношении которых применяется патентная система налогообложения, за счет включения в него тех видов, по которым сейчас применяется ЕНВД. Также предлагается предоставить налогоплательщикам право уменьшать сумму налога по патентной системе налогообложения на уплаченные страховые взносы по аналогии с ЕНВД. Это позволит обеспечить максимально комфортный переход индивидуальных предпринимателей с системы налогообложения в виде ЕНВД на патентную систему налогообложения.</w:t>
      </w:r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Отдельным направлением налоговой политики является продолжение проведения в соответствии со статьей 174.3 </w:t>
      </w:r>
      <w:hyperlink r:id="rId5" w:history="1">
        <w:r w:rsidRPr="00D9110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Бюджетного кодекса</w:t>
        </w:r>
      </w:hyperlink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и общими требованиями к оценке налоговых расходов субъектов Российской Федерации и муниципальных образований, утвержденными постановлением Правительства Российской Федерации от 22 июня 2019 г. № 796, ежегодной оценки эффективности использования налоговых расходов (налоговых льгот), установленных законами Республики Мордовия и решениями представительных органов сельских поселений.</w:t>
      </w:r>
      <w:proofErr w:type="gramEnd"/>
    </w:p>
    <w:p w:rsidR="00EF19BE" w:rsidRPr="00D91108" w:rsidRDefault="00EF19BE" w:rsidP="00EF19BE">
      <w:pPr>
        <w:shd w:val="clear" w:color="auto" w:fill="FFFFFF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необходимо продолжить адресную работу с налогоплательщиками, осуществление взаимодействия с Управлением Федеральной налоговой службы по Республике Мордовия в мероприятиях по обеспечению погашения налогоплательщиками задолженности по налогам и сборам, повышению налоговой культуры налогоплательщиков, осуществлять мониторинг изменения </w:t>
      </w:r>
      <w:r w:rsidRPr="00D911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федерального законодательства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части налогообложения и при необходимости своевременно приводить в соответствие муниципальные правовые акты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D9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  <w:proofErr w:type="gramEnd"/>
    </w:p>
    <w:p w:rsidR="00E25BEA" w:rsidRPr="00D91108" w:rsidRDefault="003D48E1">
      <w:pPr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E25BEA" w:rsidRPr="00D91108" w:rsidSect="00D9110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2A50"/>
    <w:rsid w:val="000F2A50"/>
    <w:rsid w:val="002778F7"/>
    <w:rsid w:val="002A4766"/>
    <w:rsid w:val="0034391B"/>
    <w:rsid w:val="003D48E1"/>
    <w:rsid w:val="007A1043"/>
    <w:rsid w:val="008759DA"/>
    <w:rsid w:val="00C75CE4"/>
    <w:rsid w:val="00D51AB9"/>
    <w:rsid w:val="00D715EB"/>
    <w:rsid w:val="00D91108"/>
    <w:rsid w:val="00EE3CF7"/>
    <w:rsid w:val="00EE546C"/>
    <w:rsid w:val="00EF1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8F7"/>
  </w:style>
  <w:style w:type="paragraph" w:styleId="1">
    <w:name w:val="heading 1"/>
    <w:basedOn w:val="a"/>
    <w:next w:val="a"/>
    <w:link w:val="10"/>
    <w:qFormat/>
    <w:rsid w:val="00EE3CF7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5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3CF7"/>
    <w:rPr>
      <w:rFonts w:ascii="Arial" w:eastAsia="Times New Roman" w:hAnsi="Arial" w:cs="Times New Roman"/>
      <w:b/>
      <w:sz w:val="56"/>
      <w:szCs w:val="20"/>
      <w:lang w:eastAsia="ru-RU"/>
    </w:rPr>
  </w:style>
  <w:style w:type="paragraph" w:customStyle="1" w:styleId="ConsPlusNormal">
    <w:name w:val="ConsPlusNormal"/>
    <w:rsid w:val="00EE3C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E3C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EE3CF7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1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0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8f21b21c-a408-42c4-b9fe-a939b863c84a.html" TargetMode="Externa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1841</Words>
  <Characters>10497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12</cp:revision>
  <dcterms:created xsi:type="dcterms:W3CDTF">2020-10-28T11:38:00Z</dcterms:created>
  <dcterms:modified xsi:type="dcterms:W3CDTF">2020-11-05T15:33:00Z</dcterms:modified>
</cp:coreProperties>
</file>