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A63" w:rsidRDefault="00F73A63" w:rsidP="00F73A63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САЛАЗГОРЬСКОГО СЕЛЬСКОГО ПОСЕЛЕНИЯ</w:t>
      </w:r>
    </w:p>
    <w:p w:rsidR="00F73A63" w:rsidRDefault="00F73A63" w:rsidP="00F73A63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F73A63" w:rsidRDefault="00F73A63" w:rsidP="00F73A63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73A63" w:rsidRDefault="00F73A63" w:rsidP="00F73A63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A63" w:rsidRDefault="00F73A63" w:rsidP="00F73A63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A63" w:rsidRDefault="00F73A63" w:rsidP="00F73A63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73A63" w:rsidRDefault="00F73A63" w:rsidP="00F73A63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05 ноября 2020 года № 116</w:t>
      </w:r>
    </w:p>
    <w:p w:rsidR="00F73A63" w:rsidRDefault="00F73A63" w:rsidP="00F73A63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A63" w:rsidRDefault="00F73A63" w:rsidP="00F73A63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основных направлений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бюджетной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 налоговой</w:t>
      </w:r>
    </w:p>
    <w:p w:rsidR="00F73A63" w:rsidRDefault="00F73A63" w:rsidP="00F73A63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политики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на 2021 год и</w:t>
      </w:r>
    </w:p>
    <w:p w:rsidR="00F73A63" w:rsidRDefault="00F73A63" w:rsidP="00F73A63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плановые периоды 2022-2023 гг.</w:t>
      </w:r>
    </w:p>
    <w:p w:rsidR="00F73A63" w:rsidRDefault="00F73A63" w:rsidP="00F73A63">
      <w:pPr>
        <w:pStyle w:val="a5"/>
        <w:spacing w:after="0"/>
        <w:rPr>
          <w:sz w:val="28"/>
          <w:szCs w:val="28"/>
        </w:rPr>
      </w:pPr>
    </w:p>
    <w:p w:rsidR="00F73A63" w:rsidRDefault="00F73A63" w:rsidP="00F73A63">
      <w:pPr>
        <w:pStyle w:val="1"/>
        <w:numPr>
          <w:ilvl w:val="0"/>
          <w:numId w:val="1"/>
        </w:numPr>
        <w:spacing w:line="240" w:lineRule="auto"/>
        <w:ind w:left="431"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В соответствии со ст.172,184,1 БК РФ, статьей 36 Устава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сельского поселения, решением Совета депутатов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сельского поселения № 21 от 22.08.2014 г. "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Об утверждении Положения о бюджетном процессе в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сельском поселении», администрация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сельского поселения постановляет: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1.Утвердить основные направления бюджетной и налоговой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 2021 год и плановые периоды 2022-2023 гг. согласно приложению.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Настоящее постановление вступает в силу со дня его официального опубликования в информационном бюллетене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вести» и подлежит размещению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hyperlink r:id="rId5" w:history="1">
        <w:proofErr w:type="spellStart"/>
        <w:r>
          <w:rPr>
            <w:rStyle w:val="a4"/>
            <w:rFonts w:ascii="Times New Roman" w:hAnsi="Times New Roman" w:cs="Times New Roman"/>
            <w:sz w:val="28"/>
            <w:szCs w:val="28"/>
          </w:rPr>
          <w:t>torbeevo.e-mordovia.ru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Г.П.Солдатова. </w:t>
      </w:r>
    </w:p>
    <w:p w:rsidR="00F73A63" w:rsidRDefault="00F73A63" w:rsidP="00F73A63">
      <w:pPr>
        <w:pStyle w:val="a5"/>
        <w:spacing w:beforeAutospacing="0" w:after="0"/>
        <w:ind w:left="5942"/>
        <w:jc w:val="both"/>
        <w:rPr>
          <w:sz w:val="28"/>
          <w:szCs w:val="28"/>
        </w:rPr>
      </w:pPr>
    </w:p>
    <w:p w:rsidR="00F73A63" w:rsidRDefault="00F73A63" w:rsidP="00F73A63">
      <w:pPr>
        <w:pStyle w:val="a5"/>
        <w:spacing w:beforeAutospacing="0" w:after="0"/>
        <w:ind w:left="5942"/>
        <w:jc w:val="both"/>
        <w:rPr>
          <w:sz w:val="28"/>
          <w:szCs w:val="28"/>
        </w:rPr>
      </w:pPr>
    </w:p>
    <w:p w:rsidR="00F73A63" w:rsidRDefault="00F73A63" w:rsidP="00F73A63">
      <w:pPr>
        <w:pStyle w:val="a5"/>
        <w:spacing w:beforeAutospacing="0" w:after="0"/>
        <w:ind w:left="5942"/>
        <w:jc w:val="both"/>
        <w:rPr>
          <w:sz w:val="28"/>
          <w:szCs w:val="28"/>
        </w:rPr>
      </w:pPr>
    </w:p>
    <w:p w:rsidR="00F73A63" w:rsidRDefault="00F73A63" w:rsidP="00F73A63">
      <w:pPr>
        <w:pStyle w:val="a5"/>
        <w:spacing w:beforeAutospacing="0" w:after="0"/>
        <w:ind w:left="5942"/>
        <w:jc w:val="both"/>
        <w:rPr>
          <w:sz w:val="28"/>
          <w:szCs w:val="28"/>
        </w:rPr>
      </w:pPr>
    </w:p>
    <w:p w:rsidR="00F73A63" w:rsidRDefault="00F73A63" w:rsidP="00F73A63">
      <w:pPr>
        <w:pStyle w:val="a5"/>
        <w:spacing w:beforeAutospacing="0" w:after="0"/>
        <w:ind w:left="5942"/>
        <w:jc w:val="both"/>
        <w:rPr>
          <w:sz w:val="28"/>
          <w:szCs w:val="28"/>
        </w:rPr>
      </w:pPr>
    </w:p>
    <w:p w:rsidR="00F73A63" w:rsidRDefault="00F73A63" w:rsidP="00F73A63">
      <w:pPr>
        <w:pStyle w:val="a5"/>
        <w:spacing w:after="0"/>
        <w:jc w:val="both"/>
        <w:rPr>
          <w:sz w:val="28"/>
          <w:szCs w:val="28"/>
        </w:rPr>
      </w:pPr>
    </w:p>
    <w:p w:rsidR="00F73A63" w:rsidRDefault="00F73A63" w:rsidP="00F73A63">
      <w:pPr>
        <w:pStyle w:val="a5"/>
        <w:spacing w:after="0"/>
        <w:jc w:val="both"/>
        <w:rPr>
          <w:sz w:val="28"/>
          <w:szCs w:val="28"/>
        </w:rPr>
      </w:pPr>
    </w:p>
    <w:p w:rsidR="00F73A63" w:rsidRDefault="00F73A63" w:rsidP="00F73A63">
      <w:pPr>
        <w:pStyle w:val="a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</w:p>
    <w:p w:rsidR="00F73A63" w:rsidRDefault="00F73A63" w:rsidP="00F73A63">
      <w:pPr>
        <w:pStyle w:val="a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администрации </w:t>
      </w:r>
    </w:p>
    <w:p w:rsidR="00F73A63" w:rsidRDefault="00F73A63" w:rsidP="00F73A63">
      <w:pPr>
        <w:pStyle w:val="a6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Салазгорьского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F73A63" w:rsidRDefault="00F73A63" w:rsidP="00F73A63">
      <w:pPr>
        <w:pStyle w:val="a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05.11.2020 № 116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</w:rPr>
      </w:pPr>
    </w:p>
    <w:p w:rsidR="00F73A63" w:rsidRDefault="00F73A63" w:rsidP="00F73A63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Основные направления бюджетной и налоговой политики</w:t>
      </w:r>
    </w:p>
    <w:p w:rsidR="00F73A63" w:rsidRDefault="00F73A63" w:rsidP="00F73A63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24"/>
      <w:bookmarkEnd w:id="0"/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на 2021 год и на плановый период 2022 и 2023 годов</w:t>
      </w:r>
    </w:p>
    <w:p w:rsidR="00F73A63" w:rsidRDefault="00F73A63" w:rsidP="00F73A63">
      <w:pPr>
        <w:pStyle w:val="a5"/>
        <w:spacing w:before="238" w:beforeAutospacing="0" w:after="23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  Основные направления бюджетной и налоговой политики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на 2021 год и на плановый период 2022 и 2023 годов определяют на ближайший трехлетний период базовые принципы, условия и подходы, используемые при составлении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 на 2021 год и на плановый период 2022 и 2023 годов. Их формирование осуществлялось в новых экономических условиях, складывающихся на фоне ситуации вызванной распространением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и принятием мер по устранению ее последствий.</w:t>
      </w:r>
    </w:p>
    <w:p w:rsidR="00F73A63" w:rsidRDefault="00F73A63" w:rsidP="00F73A63">
      <w:pPr>
        <w:pStyle w:val="a5"/>
        <w:shd w:val="clear" w:color="auto" w:fill="FFFFFF"/>
        <w:spacing w:after="0" w:line="318" w:lineRule="atLeas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Основные направления бюджетной политики </w:t>
      </w:r>
      <w:proofErr w:type="spellStart"/>
      <w:r>
        <w:rPr>
          <w:b/>
          <w:bCs/>
          <w:sz w:val="28"/>
          <w:szCs w:val="28"/>
        </w:rPr>
        <w:t>Салазгорьского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на 2021 год и на плановый период 2022 и 2023 годов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 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2020 году меры по ограничению распространения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привели к снижению деловой активности и, как следствие, к снижению налоговых и неналоговых доходов в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  (далее – бюджет сельского поселения). При этом уровень недополученных доходов бюджета сельского поселения будет зависеть от продолжительности карантинных мер, объема принимаемых мер государственной поддержки и их влияния на структуру отраслей экономики, длительности цикла восстановления деятельности пострадавших хозяйствующих субъектов.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таких достаточно сложных экономических условиях основными ориентирами и приоритетами бюджетной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являются сохранение сбалансированности и финансовой устойчивости бюджетной системы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обеспечение достижения национальных целей развития Российской Федерации, направленных на повышение уровня жизни граждан, создание комфортных условий для их проживания, обеспечение достойного эффективного труда людей и успешное предпринимательство.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Основными направлениями бюджетной политики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среднесрочной перспективе являются: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обеспечение устойчивости и сбалансированности бюджета, сохранение долговой устойчивости в условиях ухудшения экономической ситуации, связанной с распространением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инфекции, и падения собственных доходов;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концентрация финансовых ресурсов на достижении целей, показателей и результатов региональных проектов, направленных на достижение соответствующих результатов федеральных проектов.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Достижение целей региональных проектов должно быть обеспечено за счет реализации мероприятий региональных проектов, сбалансированных по срокам, ожидаемым результатам и параметрам ресурсного обеспечения.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организации эффективной системы мониторинга реализации региональных проектов необходимо обеспечить обособление мероприятий региональных проектов в качестве отдельных структурных элементов муниципальных программ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 сельского поселения и учет бюджетных ассигнований на их реализацию по отдельным кодам бюджетной классификации, а также увязку направлений расходов бюджета района с результатами региональных проектов, позволяющую осуществить контроль за использованием бюджетных средств на реализацию региональных проектов;</w:t>
      </w:r>
      <w:proofErr w:type="gramEnd"/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продолжение реализации мер, направленных на повышение эффективности и оптимизацию расходов бюджетов сельских поселений, ограничение дефицита и уровня муниципального долга. 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муниципальных образований. 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Планирование бюджетных ассигнований должно осуществляться в жесткой увязке с целями, задачами и показателями муниципальных программ, а именно: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повышение эффективности работы с муниципальным имуществом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целях оптимизации расходов на содержание 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а именно: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проведение мероприятий по изъятию, продаже или сдаче в аренду в установленном порядке излишнего, неиспользуемого или используемого не по назначению 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по постановке на учет неучтенных объектов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выявленных после проведения инвентаризации;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проведение приватизации 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соответствии с прогнозным планом;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высвобождение неэффективно используемых ресурсов для их перенаправления на решение приоритетных задач;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недопущение роста кредиторской и дебиторской задолженности и принятие мер по их ликвидации;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-развитие и совершенствование системы финансового контроля путем: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стандартизации контрольной деятельности в соответствии с федеральными стандартами внутреннего государственного финансового контроля,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предусматривающую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единые принципы контрольной деятельности, правила </w:t>
      </w:r>
      <w:r>
        <w:rPr>
          <w:rFonts w:ascii="Times New Roman" w:hAnsi="Times New Roman" w:cs="Times New Roman"/>
          <w:sz w:val="28"/>
          <w:szCs w:val="28"/>
        </w:rPr>
        <w:lastRenderedPageBreak/>
        <w:t>планирования контрольных мероприятий, оформления и реализации их результатов;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усиления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требований к обоснованию муниципальных закупок, правил нормирования, обоснования начальной максимальной цены контракта и за исполнением контрактов;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ориентации муниципального финансового контроля на оценку эффективности муниципальных ресурсов, переход с контроля над финансовыми потоками к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результатами их использования;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повышение качества финансового менеджмента, осуществляемого главными администраторами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условиях ограниченности бюджетных ресурсов и имеющихся рисков несбалансированности местных бюджетов необходимо усилить ответственность органов местного самоуправления за проводимую бюджетную политику в части: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-соблюдения условий соглашений о мерах по социально-экономическому развитию и оздоровлению муниципальных финансов муниципальных образований;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-безусловного исполнения принятых расходных обязательств;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-оптимизации и повышения эффективности бюджетных расходов и увеличения собственных доходов местных бюджетов;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-повышения результативности расходования полученных из республиканского бюджета целевых межбюджетных трансфертов и выполнения обязательств по достижению целей их предоставления;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-сокращения муниципального долга.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обеспечение прозрачности и открытости бюджетного процесса, доступности информации о муниципальных финансах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посредством: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-совершенствования механизмов предоставления информации о бюджетном процессе и бюджетном устройстве для граждан с учетом современных требований к визуализации информации и интерактивности;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-проведения публичных слушаний по проектам бюджета и годового отчета об исполнении бюджета;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-проведения оценки сельских поселений в части открытости бюджетных данных;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-проведения мероприятий, направленных на повышение бюджетной и финансовой грамотности населения.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F73A63" w:rsidRDefault="00F73A63" w:rsidP="00F73A63">
      <w:pPr>
        <w:pStyle w:val="a5"/>
        <w:spacing w:before="238" w:beforeAutospacing="0" w:after="238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b/>
          <w:bCs/>
          <w:sz w:val="28"/>
          <w:szCs w:val="28"/>
        </w:rPr>
        <w:t xml:space="preserve">Основные направления налоговой политики </w:t>
      </w:r>
      <w:proofErr w:type="spellStart"/>
      <w:r>
        <w:rPr>
          <w:b/>
          <w:bCs/>
          <w:sz w:val="28"/>
          <w:szCs w:val="28"/>
        </w:rPr>
        <w:t>Салазгорьского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на 2021 год и на плановый период 2022 и 2023 годов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        </w:t>
      </w:r>
      <w:r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предстоящий трехлетний период стратегически увязана с обеспечением восстановительного роста и развития экономики, увеличением поступлений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налоговых и неналоговых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 и направлена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   - укрепление доходной базы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за счет наращивания стабильных доходных источников и мобилизации в бюджет имеющихся резервов;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 повышение эффективности администрирования налоговых доходов, подлежащих зачислению в бюджет;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повышение уровня собираемости налогов посредством реализации мероприятий, направленных на сокращение задолженности по налогам и сборам в бюджеты бюджетной системы Российской Федерации;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-продолжение осуществления взаимодействия с органами государственной власти Республики Мордовия и территориальными органами  федеральных органов государственной власти в соответствии с Программой оздоровления государственных финансов Республики Мордовия и муниципальных финансов муниципальных образований в Республике Мордовия на 2018 - 2024 годы, утвержденной распоряжением Главы Республики Мордовия от 18 января 2013 г. № 18-РГ.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связи с неприменением с 1 января 2021 г. системы налогообложения в виде единого налога на вмененный доход для отдельных видов деятельности (пункт 8 статьи 5 Федерального закона от 29 июня 2012 г. N 97-ФЗ) (далее - ЕНВД), в 2021 году ожидается переход части индивидуальных предпринимателей на патентную систему налогообложения и как следствие увеличение налоговых поступлений по данному специальному налоговому режиму</w:t>
      </w:r>
      <w:proofErr w:type="gramEnd"/>
      <w:r>
        <w:rPr>
          <w:rFonts w:ascii="Times New Roman" w:hAnsi="Times New Roman" w:cs="Times New Roman"/>
          <w:sz w:val="28"/>
          <w:szCs w:val="28"/>
        </w:rPr>
        <w:t>. Правительством Российской Федерации одобрен законопроект «О внесении изменений в статьи 346.43 и 346.51 части второй Налогового кодекса Российской Федерации», предусматривающий расширение перечня видов предпринимательской деятельности, в отношении которых применяется патентная система налогообложения, за счет включения в него тех видов, по которым сейчас применяется ЕНВД. Также предлагается предоставить налогоплательщикам право уменьшать сумму налога по патентной системе налогообложения на уплаченные страховые взносы по аналогии с ЕНВД. Это позволит обеспечить максимально комфортный переход индивидуальных предпринимателей с системы налогообложения в виде ЕНВД на патентную систему налогообложения.</w:t>
      </w: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Отдельным направлением налоговой политики является продолжение проведения в соответствии со статьей 174.3 </w:t>
      </w:r>
      <w:hyperlink r:id="rId6" w:history="1">
        <w:r>
          <w:rPr>
            <w:rStyle w:val="a4"/>
            <w:rFonts w:ascii="Times New Roman" w:hAnsi="Times New Roman" w:cs="Times New Roman"/>
            <w:sz w:val="28"/>
            <w:szCs w:val="28"/>
          </w:rPr>
          <w:t>Бюджетного кодекса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 и общими требованиями к оценке налоговых расходов субъектов Российской Федерации и муниципальных образований, утвержденными постановлением Правительства Российской Федерации от 22 июня 2019 г. № 796, ежегодной оценки эффективности использования налоговых расходов (налоговых льгот), установленных законами Республики Мордовия и решениями представительных органов сельских поселений.</w:t>
      </w:r>
      <w:proofErr w:type="gramEnd"/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Кроме того, необходимо продолжить адресную работу с налогоплательщиками, осуществление взаимодействия с Управлением Федеральной налоговой службы по Республике Мордовия в мероприятиях по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обеспечению погашения налогоплательщиками задолженности по налогам и сборам, повышению налоговой культуры налогоплательщиков, осуществлять мониторинг изменения федерального законодательства в части налогообложения и при необходимости своевременно приводить в соответствие муниципальные правовые акты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proofErr w:type="gramEnd"/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F73A63" w:rsidRDefault="00F73A63" w:rsidP="00F73A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1F19C0" w:rsidRDefault="001F19C0"/>
    <w:sectPr w:rsidR="001F1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73A63"/>
    <w:rsid w:val="001F19C0"/>
    <w:rsid w:val="00F73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0"/>
    <w:qFormat/>
    <w:rsid w:val="00F73A63"/>
    <w:pPr>
      <w:numPr>
        <w:numId w:val="2"/>
      </w:numPr>
      <w:suppressAutoHyphens/>
      <w:spacing w:before="108" w:after="108" w:line="100" w:lineRule="atLeast"/>
      <w:jc w:val="center"/>
      <w:outlineLvl w:val="0"/>
    </w:pPr>
    <w:rPr>
      <w:rFonts w:ascii="Arial" w:eastAsia="SimSun" w:hAnsi="Arial" w:cs="Arial"/>
      <w:b/>
      <w:bCs/>
      <w:color w:val="26282F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73A63"/>
    <w:rPr>
      <w:rFonts w:ascii="Arial" w:eastAsia="SimSun" w:hAnsi="Arial" w:cs="Arial"/>
      <w:b/>
      <w:bCs/>
      <w:color w:val="26282F"/>
      <w:sz w:val="24"/>
      <w:szCs w:val="24"/>
      <w:lang w:eastAsia="ar-SA"/>
    </w:rPr>
  </w:style>
  <w:style w:type="character" w:styleId="a4">
    <w:name w:val="Hyperlink"/>
    <w:semiHidden/>
    <w:unhideWhenUsed/>
    <w:rsid w:val="00F73A63"/>
    <w:rPr>
      <w:color w:val="000080"/>
      <w:u w:val="single"/>
    </w:rPr>
  </w:style>
  <w:style w:type="paragraph" w:styleId="a5">
    <w:name w:val="Normal (Web)"/>
    <w:basedOn w:val="a"/>
    <w:uiPriority w:val="99"/>
    <w:semiHidden/>
    <w:unhideWhenUsed/>
    <w:rsid w:val="00F73A6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F73A63"/>
    <w:pPr>
      <w:suppressAutoHyphens/>
      <w:spacing w:after="0" w:line="240" w:lineRule="auto"/>
    </w:pPr>
    <w:rPr>
      <w:rFonts w:ascii="Calibri" w:eastAsia="SimSun" w:hAnsi="Calibri" w:cs="Calibri"/>
      <w:lang w:eastAsia="ar-SA"/>
    </w:rPr>
  </w:style>
  <w:style w:type="paragraph" w:styleId="a0">
    <w:name w:val="Body Text"/>
    <w:basedOn w:val="a"/>
    <w:link w:val="a7"/>
    <w:uiPriority w:val="99"/>
    <w:semiHidden/>
    <w:unhideWhenUsed/>
    <w:rsid w:val="00F73A63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F73A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6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nla-service.scli.ru:8080/rnla-links/ws/content/act/8f21b21c-a408-42c4-b9fe-a939b863c84a.html" TargetMode="Externa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1750</Words>
  <Characters>9976</Characters>
  <Application>Microsoft Office Word</Application>
  <DocSecurity>0</DocSecurity>
  <Lines>83</Lines>
  <Paragraphs>23</Paragraphs>
  <ScaleCrop>false</ScaleCrop>
  <Company/>
  <LinksUpToDate>false</LinksUpToDate>
  <CharactersWithSpaces>11703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2020-11-25T10:48:00Z</dcterms:created>
  <dcterms:modified xsi:type="dcterms:W3CDTF">2020-11-25T10:48:00Z</dcterms:modified>
</cp:coreProperties>
</file>