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D72" w:rsidRDefault="008D3D72" w:rsidP="008D3D72">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Рекомендации по заполнению справок о доходах.</w:t>
      </w:r>
    </w:p>
    <w:p w:rsidR="008D3D72" w:rsidRDefault="008D3D72" w:rsidP="008D3D72">
      <w:pPr>
        <w:spacing w:after="0" w:line="240" w:lineRule="auto"/>
        <w:jc w:val="both"/>
        <w:rPr>
          <w:rFonts w:ascii="Times New Roman" w:eastAsia="Times New Roman" w:hAnsi="Times New Roman" w:cs="Times New Roman"/>
          <w:b/>
          <w:bCs/>
          <w:sz w:val="28"/>
          <w:szCs w:val="28"/>
          <w:lang w:eastAsia="ru-RU"/>
        </w:rPr>
      </w:pPr>
    </w:p>
    <w:p w:rsidR="008D3D72" w:rsidRDefault="00BD1420" w:rsidP="008D3D72">
      <w:pPr>
        <w:spacing w:after="0" w:line="240" w:lineRule="auto"/>
        <w:ind w:left="708"/>
        <w:jc w:val="center"/>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bCs/>
          <w:sz w:val="28"/>
          <w:szCs w:val="28"/>
          <w:lang w:eastAsia="ru-RU"/>
        </w:rPr>
        <w:t>Раздел 1. Сведения о доходах</w:t>
      </w:r>
      <w:r w:rsidRPr="00BD1420">
        <w:rPr>
          <w:rFonts w:ascii="Times New Roman" w:eastAsia="Times New Roman" w:hAnsi="Times New Roman" w:cs="Times New Roman"/>
          <w:sz w:val="28"/>
          <w:szCs w:val="28"/>
          <w:lang w:eastAsia="ru-RU"/>
        </w:rPr>
        <w:br/>
      </w:r>
    </w:p>
    <w:p w:rsidR="00BD1420" w:rsidRPr="00BD1420" w:rsidRDefault="00BD1420" w:rsidP="008D3D72">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соответствии со статьей 41 части 1 Налогового кодекса Российской Федерации доходом признается экономическая выгода в денежной или натуральной форме (оплата (полностью или частично) за налогоплательщика организациями или индивидуальными предпринимателями товаров (работ, услуг) или имущественных прав, в том числе коммунальных услуг, питания, отдыха, обучения в интересах налогоплательщика: полученные налогоплательщиком товары, выполненные в интересах налогоплательщика работы, оказанные в интересах налогоплательщика услуги</w:t>
      </w:r>
      <w:proofErr w:type="gramEnd"/>
      <w:r w:rsidRPr="00BD1420">
        <w:rPr>
          <w:rFonts w:ascii="Times New Roman" w:eastAsia="Times New Roman" w:hAnsi="Times New Roman" w:cs="Times New Roman"/>
          <w:sz w:val="28"/>
          <w:szCs w:val="28"/>
          <w:lang w:eastAsia="ru-RU"/>
        </w:rPr>
        <w:t xml:space="preserve"> на безвозмездной основе или с частичной оплатой: оплата труда в натуральной форме), учитываемая в случае возможности ее оценки и в той мере, в которой такую выгоду можно оценить, и определяемая в соответствии с главами «Налог на доходы физических лиц», «Налог на прибыль организаций» Налогового кодекса Российской Федерации. </w:t>
      </w:r>
      <w:proofErr w:type="gramStart"/>
      <w:r w:rsidRPr="00BD1420">
        <w:rPr>
          <w:rFonts w:ascii="Times New Roman" w:eastAsia="Times New Roman" w:hAnsi="Times New Roman" w:cs="Times New Roman"/>
          <w:sz w:val="28"/>
          <w:szCs w:val="28"/>
          <w:lang w:eastAsia="ru-RU"/>
        </w:rPr>
        <w:t>Согласно пункта</w:t>
      </w:r>
      <w:proofErr w:type="gramEnd"/>
      <w:r w:rsidRPr="00BD1420">
        <w:rPr>
          <w:rFonts w:ascii="Times New Roman" w:eastAsia="Times New Roman" w:hAnsi="Times New Roman" w:cs="Times New Roman"/>
          <w:sz w:val="28"/>
          <w:szCs w:val="28"/>
          <w:lang w:eastAsia="ru-RU"/>
        </w:rPr>
        <w:t xml:space="preserve"> 9 части 1 статьи 15 Федерального закона № 79-ФЗ «О государственной гражданской службе Российской Федерации» гражданский служащий подает сведения о доходах, полученных от источников в Российской Федерации или от источников за пределами Российской Федерации, подлежащих налогообложению.</w:t>
      </w:r>
    </w:p>
    <w:p w:rsidR="001F73F0" w:rsidRDefault="00BD1420" w:rsidP="00867095">
      <w:pPr>
        <w:spacing w:after="0" w:line="240" w:lineRule="auto"/>
        <w:ind w:firstLine="709"/>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соответствии с частью 1 статьи 210 части 2 Налогового кодекса Российской Федерации при определении налоговой базы учитываются все доходы налогоплательщика, полученные им как в денежной, так и в натуральной формах, или право на распоряжение, которыми у него возникло, а также доходы в виде материальной выгоды, определяемой в соответствии со статьей 212 настоящего Кодекса.</w:t>
      </w:r>
      <w:proofErr w:type="gramEnd"/>
      <w:r w:rsidRPr="00BD1420">
        <w:rPr>
          <w:rFonts w:ascii="Times New Roman" w:eastAsia="Times New Roman" w:hAnsi="Times New Roman" w:cs="Times New Roman"/>
          <w:sz w:val="28"/>
          <w:szCs w:val="28"/>
          <w:lang w:eastAsia="ru-RU"/>
        </w:rPr>
        <w:t xml:space="preserve"> Открытый перечень доходов от источников в Российской Федерации и от источников за пределами Российской Федерации, подлежащих налогообложению, установлен статьей 208 части 2 Налогового кодекса Российской Федерации. </w:t>
      </w:r>
    </w:p>
    <w:p w:rsidR="001F73F0"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1 «Доход по основному месту работы» указывается сумма, согласно справке с места работы по форме 2-НДФЛ. В случае изменения основного места работы в течение отчётного периода, в указанном пункте необходимо указывать сведения о полученных доходах с разбивкой по основным местам работы с указанием периодов работы в этих организациях, на основании представленных работодателями справок по форме 2-НДФЛ.</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2 «Доход от педагогической деятельности» указывается общая сумма дохода, полученная со всех мест преподавания по справке 2- НДФЛ (аналогично указывается доход, полученный гражданским служащим от научной</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деятельности).</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Пункт 4 «Доход от иной творческой деятельности» включает доходы, полученные гражданским служащим в разных сферах творческой деятельности (технической, художественной, публицистической и т.д.). Пункт 5 «Доход от вкладов в банках и иных кредитных организациях». </w:t>
      </w:r>
      <w:r w:rsidRPr="00BD1420">
        <w:rPr>
          <w:rFonts w:ascii="Times New Roman" w:eastAsia="Times New Roman" w:hAnsi="Times New Roman" w:cs="Times New Roman"/>
          <w:sz w:val="28"/>
          <w:szCs w:val="28"/>
          <w:lang w:eastAsia="ru-RU"/>
        </w:rPr>
        <w:lastRenderedPageBreak/>
        <w:t>Банковский вклад - денежные средства в валюте Российской Федерации или иностранной валюте, размещаемые физическими лицами в целях хранения и получения дохода. Доход по вкладу выплачивается в денежной форме в виде процентов. Величина дохода по банковскому вкладу определяется исходя из процентной ставки по вкладу, определенной в «договоре вклада». Величина дохода по вкладу подтверждается документом, выданным соответствующим банком. Под «иной кредитной организацией» понимается юридическое лицо, которое для извлечения прибыли как основной цели своей деятельности на основании специального разрешения (лицензии) Центрального банка Российской Федерации (Банка России) имеет право осуществлять банковские операции, предусмотренные Федеральным законом «О банках и банковской деятельности». Величина дохода по вкладу подтверждается документом, выданным соответствующей кредитной организацией.</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Пункт 6 «Доход от ценных бумаг и долей участия в коммерческих организациях». </w:t>
      </w: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143 Гражданского кодекса Российской Федерации к ценным бумагам относятся: облигация, вексель, депозитный и сберегательный сертификаты, акция, приватизационные ценные бумаги и другие документы, которые законами о ценных бумагах или в установленном ими порядке отнесены к числу ценных бумаг. </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bCs/>
          <w:sz w:val="28"/>
          <w:szCs w:val="28"/>
          <w:lang w:eastAsia="ru-RU"/>
        </w:rPr>
        <w:t>Следует обратить особое внимание</w:t>
      </w:r>
      <w:r w:rsidRPr="00BD1420">
        <w:rPr>
          <w:rFonts w:ascii="Times New Roman" w:eastAsia="Times New Roman" w:hAnsi="Times New Roman" w:cs="Times New Roman"/>
          <w:sz w:val="28"/>
          <w:szCs w:val="28"/>
          <w:lang w:eastAsia="ru-RU"/>
        </w:rPr>
        <w:t>, что согласно п.4 ч.1 ст.17 Федерального закона от 27 июля 2004 года № 79-ФЗ «О государственной гражданской службе Российской Федерации» в связи с прохождением гражданской службы, гражданскому служащему запрещается приобретать в случаях, установленных федеральным законом, ценные бумаги, по которым может быть получен доход.</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 xml:space="preserve">Частью 6 статьи 11 Федерального закона от 25 декабря 2008 года № 273-ФЗ «О противодействии коррупции» установлена обязанность гражданского служащего в целях предотвращения конфликта интересов </w:t>
      </w:r>
      <w:proofErr w:type="gramStart"/>
      <w:r w:rsidRPr="00BD1420">
        <w:rPr>
          <w:rFonts w:ascii="Times New Roman" w:eastAsia="Times New Roman" w:hAnsi="Times New Roman" w:cs="Times New Roman"/>
          <w:sz w:val="28"/>
          <w:szCs w:val="28"/>
          <w:lang w:eastAsia="ru-RU"/>
        </w:rPr>
        <w:t>передать</w:t>
      </w:r>
      <w:proofErr w:type="gramEnd"/>
      <w:r w:rsidRPr="00BD1420">
        <w:rPr>
          <w:rFonts w:ascii="Times New Roman" w:eastAsia="Times New Roman" w:hAnsi="Times New Roman" w:cs="Times New Roman"/>
          <w:sz w:val="28"/>
          <w:szCs w:val="28"/>
          <w:lang w:eastAsia="ru-RU"/>
        </w:rPr>
        <w:t xml:space="preserve"> принадлежащие ему ценные бумаги, акции (доли участия, паи в уставных (складочных) капиталах организаций) в доверительное управление в соответствии с законодательством Российской Федерации. Под «долей участия» в акционерных обществах понимается владение акциями коммерческой организации, дающих право на получение дивиденда (дохода), при условии, что владение акциями не приведет к конфликту интересов. Доходность ценных бумаг - отношение годового дохода по ценной бумаге к ее рыночной цене; норма прибыли, получаемая владельцем ценной бумаги. До определения порядка передачи ценных бумаг в доверительное управление, в соответствии с Протоколом совещания у заместителя Министра здравоохранения и социального развития от 20.12.2011 №4/17/74 гражданский служащий может владеть ценными бумагами, акциями (долями, паями в уставных (складочных) капиталах организаций), если это не приводит к конфликту интересов.</w:t>
      </w:r>
      <w:r w:rsidR="00272A4E">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 xml:space="preserve">При принятии комиссией по соблюдению требований к служебному поведению федеральных государственных служащих и урегулированию конфликта интересов, руководителем государственного органа решения о </w:t>
      </w:r>
      <w:r w:rsidRPr="00BD1420">
        <w:rPr>
          <w:rFonts w:ascii="Times New Roman" w:eastAsia="Times New Roman" w:hAnsi="Times New Roman" w:cs="Times New Roman"/>
          <w:sz w:val="28"/>
          <w:szCs w:val="28"/>
          <w:lang w:eastAsia="ru-RU"/>
        </w:rPr>
        <w:lastRenderedPageBreak/>
        <w:t>необходимости передачи государственным служащим ценных бумаг, акций (долей участия, паев в уставных (складочных) капиталах организаций) в доверительное управление, передача указанных ценных бумаг производится в соответствии с Гражданским кодексом Российской Федерации на основании договора доверительного управления имуществом (пункт 1 статьи</w:t>
      </w:r>
      <w:proofErr w:type="gramEnd"/>
      <w:r w:rsidRPr="00BD1420">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1012 Гражданского кодекса Российской Федерации).</w:t>
      </w:r>
      <w:proofErr w:type="gramEnd"/>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В пункте 7 «Иные доходы (указать вид дохода)». Данная позиция включает в себя все виды доходов, которые не были отражены выше, в том числе:</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денежные средства, полученные от страховой компании на ремонт автотранспортного</w:t>
      </w:r>
      <w:r w:rsidR="00D74C6F">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средства;</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материнский капитал по факту перечисления денежных средств на счет гражданского служащего (его супруги);</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социальные выплаты в денежной форме (замена скидок по оплате жилого помещения, коммунальных услуг и услуг связи), представляемые отдельным категориям граждан;</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денежные средства, выплаченные (перечисленные на счет) взамен выдачи полагающегося натурального довольствия;</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стипендии учащихся студентов, аспирантов и т.д.</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сведения о доходах по долгосрочным вкладам, с условием начисления процентов в конце срока вклада, а также с условием досрочного расторжения вклада с иным процентным накоплением вносятся в Справку по фактическому поступлению их в отчетном периоде (Протокол совещания у заместителя Министра здравоохранения и социального развития от 18.03.2011 №17-1/460).</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Обращаем внимание, что соответствии с пунктом 36 статьи 217 Налогового кодекса Российской Федерации единовременная субсидия, предоставленная на приобретение жилого помещения гражданскому служащему на основании постановления Правительства Российской Федерации от 27 января 2009 года № 63, является доходом, </w:t>
      </w:r>
      <w:proofErr w:type="gramStart"/>
      <w:r w:rsidRPr="00BD1420">
        <w:rPr>
          <w:rFonts w:ascii="Times New Roman" w:eastAsia="Times New Roman" w:hAnsi="Times New Roman" w:cs="Times New Roman"/>
          <w:sz w:val="28"/>
          <w:szCs w:val="28"/>
          <w:lang w:eastAsia="ru-RU"/>
        </w:rPr>
        <w:t>и</w:t>
      </w:r>
      <w:proofErr w:type="gramEnd"/>
      <w:r w:rsidRPr="00BD1420">
        <w:rPr>
          <w:rFonts w:ascii="Times New Roman" w:eastAsia="Times New Roman" w:hAnsi="Times New Roman" w:cs="Times New Roman"/>
          <w:sz w:val="28"/>
          <w:szCs w:val="28"/>
          <w:lang w:eastAsia="ru-RU"/>
        </w:rPr>
        <w:t xml:space="preserve"> следовательно, размер единовременной субсидии указывается в пункте 7 раздела 1 Справки. </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Внесение соответствующих сведений в Справку производится в тот отчетный период, в котором денежные средства перечислены со счета № 40302 на счет продавца (физического лица (юридического лица, индивидуального предпринимателя), осуществляющего отчуждение жилого помещения и доходы от сдачи в аренду недвижимого имущества и транспортных средств;</w:t>
      </w:r>
    </w:p>
    <w:p w:rsidR="00BD1420" w:rsidRPr="00BD1420"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8 «Итого доход за отчетный период» указывается суммарная величина дохода. Доход, полученный в иностранной валюте, указывается в рублях по курсу Банка России на дату получения дохода.</w:t>
      </w:r>
    </w:p>
    <w:p w:rsidR="008D3D72" w:rsidRDefault="00BD1420" w:rsidP="008D3D72">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2. Сведения об имуществе</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данном разделе указывается только имущество, находящееся в собственности и являющееся объектом налогообложения.</w:t>
      </w:r>
    </w:p>
    <w:p w:rsidR="00BA515C" w:rsidRPr="00B249B1" w:rsidRDefault="00BD1420" w:rsidP="00B249B1">
      <w:pPr>
        <w:spacing w:after="0" w:line="240" w:lineRule="auto"/>
        <w:jc w:val="center"/>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t>2.1. Недвижимое имущество</w:t>
      </w:r>
    </w:p>
    <w:p w:rsidR="00BA515C"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sz w:val="28"/>
          <w:szCs w:val="28"/>
          <w:lang w:eastAsia="ru-RU"/>
        </w:rPr>
        <w:lastRenderedPageBreak/>
        <w:t>Согласно статье 130 Гражданского кодекса Российской Федерации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r w:rsidRPr="00BD1420">
        <w:rPr>
          <w:rFonts w:ascii="Times New Roman" w:eastAsia="Times New Roman" w:hAnsi="Times New Roman" w:cs="Times New Roman"/>
          <w:sz w:val="28"/>
          <w:szCs w:val="28"/>
          <w:lang w:eastAsia="ru-RU"/>
        </w:rPr>
        <w:br/>
      </w:r>
      <w:r w:rsidRPr="00BD1420">
        <w:rPr>
          <w:rFonts w:ascii="Times New Roman" w:eastAsia="Times New Roman" w:hAnsi="Times New Roman" w:cs="Times New Roman"/>
          <w:i/>
          <w:iCs/>
          <w:sz w:val="28"/>
          <w:szCs w:val="28"/>
          <w:lang w:eastAsia="ru-RU"/>
        </w:rPr>
        <w:t>Графа 2 «Вид и наименование имущества»</w:t>
      </w:r>
    </w:p>
    <w:p w:rsidR="00BA515C"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пункте 1 «Земельные участки» указывается вид земельного участка. Согласно статье 11.1 Земельного кодекса Российской Федерации земельным участком является часть земной поверхности, границы которой определены в соответствии с федеральными законами. К основным видам использования земельных участков относятся: </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земельный участок под индивидуальное жилищное строительство. Объектами индивидуального жилищного строительства являются дома, предназначенные для индивидуального проживания гражданина (нескольких граждан, семьи), и объекты малоэтажного строительства с количеством этажей не более трех.</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земельный участок под многоквартирным домом и иными входящими в состав такого дома объектами недвижимого имущества. Согласно части 1 статьи 16 Федерального закона от 29 декабря 2004 года № 189-ФЗ «О введении в действие Жилищного кодекса Российской Федерации» земельный участок, на котором расположены многоквартирный дом и иные входящие в состав такого дома объекты недвижимого имущества, является общей долевой собственностью собственников помещений в многоквартирном доме. Порядок и условия предоставления такого земельного участка в качестве общего имущества в общую долевую собственность домовладельцев установлен статьей 16 вышеназванного Федерального закона. Сведения об имеющейся доле в праве общей собственности на земельный участок под многоквартирным домом и иными входящими в состав такого дома объектами недвижимого имущества следует получить в территориальном органе Федеральной службы государственной регистрации, кадастра и картографии, в котором производилась государственная регистрация права собственности на жилое помещение в этом многоквартирном доме.</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земельный участок для ведения личного подсобного хозяйства. Личное подсобное хозяйство - форма непредпринимательской деятельности по производству и переработке сельскохозяйственной продукции. Личное подсобное хозяйство ведется гражданином - одним или совместно с членами его семьи, в целях удовлетворения личных потребностей на земельном участке, предоставленном или приобретенном для ведения личного подсобного хозяйства (статья 2 Федерального закона от 7 июля 2003 г. № 112-ФЗ «О личном подсобном хозяйстве»). Для ведения личного подсобного хозяйства могут использоваться: земельный участок в границах населенного пункта - приусадебный земельный участок и земельный участок за пределами границ населенного пункта - полевой земельный участок. </w:t>
      </w:r>
      <w:r w:rsidRPr="00BD1420">
        <w:rPr>
          <w:rFonts w:ascii="Times New Roman" w:eastAsia="Times New Roman" w:hAnsi="Times New Roman" w:cs="Times New Roman"/>
          <w:sz w:val="28"/>
          <w:szCs w:val="28"/>
          <w:lang w:eastAsia="ru-RU"/>
        </w:rPr>
        <w:lastRenderedPageBreak/>
        <w:t xml:space="preserve">Приусадебный земельный участок используется как для производства сельскохозяйственной продукции, так и для возведения жилого дома, производственных, бытовых и иных зданий, строений, сооружений, а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roofErr w:type="gramEnd"/>
    </w:p>
    <w:p w:rsidR="00BA515C" w:rsidRPr="00B249B1" w:rsidRDefault="00BD1420" w:rsidP="00BA515C">
      <w:pPr>
        <w:spacing w:after="0" w:line="240" w:lineRule="auto"/>
        <w:ind w:firstLine="708"/>
        <w:jc w:val="both"/>
        <w:rPr>
          <w:rFonts w:ascii="Times New Roman" w:eastAsia="Times New Roman" w:hAnsi="Times New Roman" w:cs="Times New Roman"/>
          <w:b/>
          <w:i/>
          <w:iCs/>
          <w:sz w:val="28"/>
          <w:szCs w:val="28"/>
          <w:lang w:eastAsia="ru-RU"/>
        </w:rPr>
      </w:pPr>
      <w:proofErr w:type="gramStart"/>
      <w:r w:rsidRPr="00BD1420">
        <w:rPr>
          <w:rFonts w:ascii="Times New Roman" w:eastAsia="Times New Roman" w:hAnsi="Times New Roman" w:cs="Times New Roman"/>
          <w:sz w:val="28"/>
          <w:szCs w:val="28"/>
          <w:lang w:eastAsia="ru-RU"/>
        </w:rPr>
        <w:t>Вид земельного участка указывается в соответствии с наименованием товарищества (например: садовый земельный участок в садоводческом товариществе «Русь»); дачный земельный участок в дачном некоммерческом товариществе «Исток») - земельный участок под индивидуальное гаражное строительство.</w:t>
      </w:r>
      <w:proofErr w:type="gramEnd"/>
      <w:r w:rsidRPr="00BD1420">
        <w:rPr>
          <w:rFonts w:ascii="Times New Roman" w:eastAsia="Times New Roman" w:hAnsi="Times New Roman" w:cs="Times New Roman"/>
          <w:sz w:val="28"/>
          <w:szCs w:val="28"/>
          <w:lang w:eastAsia="ru-RU"/>
        </w:rPr>
        <w:t xml:space="preserve"> Гаражи - здания, предназначенные для хранения, </w:t>
      </w:r>
      <w:proofErr w:type="spellStart"/>
      <w:r w:rsidRPr="00BD1420">
        <w:rPr>
          <w:rFonts w:ascii="Times New Roman" w:eastAsia="Times New Roman" w:hAnsi="Times New Roman" w:cs="Times New Roman"/>
          <w:sz w:val="28"/>
          <w:szCs w:val="28"/>
          <w:lang w:eastAsia="ru-RU"/>
        </w:rPr>
        <w:t>паркирования</w:t>
      </w:r>
      <w:proofErr w:type="spellEnd"/>
      <w:r w:rsidRPr="00BD1420">
        <w:rPr>
          <w:rFonts w:ascii="Times New Roman" w:eastAsia="Times New Roman" w:hAnsi="Times New Roman" w:cs="Times New Roman"/>
          <w:sz w:val="28"/>
          <w:szCs w:val="28"/>
          <w:lang w:eastAsia="ru-RU"/>
        </w:rPr>
        <w:t xml:space="preserve">, технического обслуживания автомобилей. </w:t>
      </w:r>
      <w:r w:rsidRPr="00BD1420">
        <w:rPr>
          <w:rFonts w:ascii="Times New Roman" w:eastAsia="Times New Roman" w:hAnsi="Times New Roman" w:cs="Times New Roman"/>
          <w:b/>
          <w:i/>
          <w:iCs/>
          <w:sz w:val="28"/>
          <w:szCs w:val="28"/>
          <w:lang w:eastAsia="ru-RU"/>
        </w:rPr>
        <w:t>Пункт 2 «Жилые дома».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(п. 2 ст. 16 Жилищного кодекса Российской Федерации). Жилые дома функционально предназначены для постоянного проживания. Именно пригодность к проживанию в течение всех сезонов, а не только в летнее время отличает жилое помещение от дачного, предназначенного для отдыха, временного пребывания. Общая площадь жилого дома указывается в Справке на основании данных, имеющихся в свидетельстве о государственной регистрации права собственности на жилой дом. </w:t>
      </w:r>
    </w:p>
    <w:p w:rsidR="00AE09F7" w:rsidRPr="00B249B1" w:rsidRDefault="00BD1420" w:rsidP="00BA515C">
      <w:pPr>
        <w:spacing w:after="0" w:line="240" w:lineRule="auto"/>
        <w:ind w:firstLine="708"/>
        <w:jc w:val="both"/>
        <w:rPr>
          <w:rFonts w:ascii="Times New Roman" w:eastAsia="Times New Roman" w:hAnsi="Times New Roman" w:cs="Times New Roman"/>
          <w:b/>
          <w:i/>
          <w:iCs/>
          <w:sz w:val="28"/>
          <w:szCs w:val="28"/>
          <w:lang w:eastAsia="ru-RU"/>
        </w:rPr>
      </w:pPr>
      <w:r w:rsidRPr="00BD1420">
        <w:rPr>
          <w:rFonts w:ascii="Times New Roman" w:eastAsia="Times New Roman" w:hAnsi="Times New Roman" w:cs="Times New Roman"/>
          <w:b/>
          <w:i/>
          <w:iCs/>
          <w:sz w:val="28"/>
          <w:szCs w:val="28"/>
          <w:lang w:eastAsia="ru-RU"/>
        </w:rPr>
        <w:t>Пункт 3 «Квартира».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 xml:space="preserve">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w:t>
      </w:r>
      <w:r w:rsidRPr="00BD1420">
        <w:rPr>
          <w:rFonts w:ascii="Times New Roman" w:eastAsia="Times New Roman" w:hAnsi="Times New Roman" w:cs="Times New Roman"/>
          <w:sz w:val="28"/>
          <w:szCs w:val="28"/>
          <w:lang w:eastAsia="ru-RU"/>
        </w:rPr>
        <w:lastRenderedPageBreak/>
        <w:t>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(п.3. ст.16 Жилищного кодекса Российской Федерации).</w:t>
      </w:r>
      <w:proofErr w:type="gramEnd"/>
      <w:r w:rsidRPr="00BD1420">
        <w:rPr>
          <w:rFonts w:ascii="Times New Roman" w:eastAsia="Times New Roman" w:hAnsi="Times New Roman" w:cs="Times New Roman"/>
          <w:sz w:val="28"/>
          <w:szCs w:val="28"/>
          <w:lang w:eastAsia="ru-RU"/>
        </w:rPr>
        <w:t xml:space="preserve"> Общая площадь квартиры указывается в Справке на основании данных, имеющихся в свидетельстве о государственной регистрации права собственности на квартиру.</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 Протоколом от 20.12.2011 №4/17/74 сведения об объекте недвижимого имущества, находящемся в долевой собственности гражданского служащего (например, ½ доля квартиры) и члена его семьи (например, ½ доля квартиры), отражаются в подразделе 2.1 «Недвижимое имущество» Справки (с указанием доли) государственного служащего и члена его семьи. При этом сведения о том, что гражданский служащий пользуется долей (например</w:t>
      </w:r>
      <w:proofErr w:type="gramStart"/>
      <w:r w:rsidRPr="00BD1420">
        <w:rPr>
          <w:rFonts w:ascii="Times New Roman" w:eastAsia="Times New Roman" w:hAnsi="Times New Roman" w:cs="Times New Roman"/>
          <w:sz w:val="28"/>
          <w:szCs w:val="28"/>
          <w:lang w:eastAsia="ru-RU"/>
        </w:rPr>
        <w:t xml:space="preserve">, ½) </w:t>
      </w:r>
      <w:proofErr w:type="gramEnd"/>
      <w:r w:rsidRPr="00BD1420">
        <w:rPr>
          <w:rFonts w:ascii="Times New Roman" w:eastAsia="Times New Roman" w:hAnsi="Times New Roman" w:cs="Times New Roman"/>
          <w:sz w:val="28"/>
          <w:szCs w:val="28"/>
          <w:lang w:eastAsia="ru-RU"/>
        </w:rPr>
        <w:t xml:space="preserve">объекта недвижимого имущества, не принадлежащей ему на праве собственности, в подраздел 5.1. «Объекты недвижимого имущества, </w:t>
      </w:r>
      <w:proofErr w:type="gramStart"/>
      <w:r w:rsidRPr="00BD1420">
        <w:rPr>
          <w:rFonts w:ascii="Times New Roman" w:eastAsia="Times New Roman" w:hAnsi="Times New Roman" w:cs="Times New Roman"/>
          <w:sz w:val="28"/>
          <w:szCs w:val="28"/>
          <w:lang w:eastAsia="ru-RU"/>
        </w:rPr>
        <w:t>находящихся</w:t>
      </w:r>
      <w:proofErr w:type="gramEnd"/>
      <w:r w:rsidRPr="00BD1420">
        <w:rPr>
          <w:rFonts w:ascii="Times New Roman" w:eastAsia="Times New Roman" w:hAnsi="Times New Roman" w:cs="Times New Roman"/>
          <w:sz w:val="28"/>
          <w:szCs w:val="28"/>
          <w:lang w:eastAsia="ru-RU"/>
        </w:rPr>
        <w:t xml:space="preserve"> в пользовании» не вносятся.</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4 «Дачи».</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Понятие «дача» не относится к числу правовых категорий. Оно имеет собирательное значение и обозначает загородный дом для летнего проживания и отдыха (Толковый словарь русского языка под ред. Д.Н. Ушакова). </w:t>
      </w:r>
      <w:proofErr w:type="gramStart"/>
      <w:r w:rsidRPr="00BD1420">
        <w:rPr>
          <w:rFonts w:ascii="Times New Roman" w:eastAsia="Times New Roman" w:hAnsi="Times New Roman" w:cs="Times New Roman"/>
          <w:sz w:val="28"/>
          <w:szCs w:val="28"/>
          <w:lang w:eastAsia="ru-RU"/>
        </w:rPr>
        <w:t>Данный термин применяется к жилому строению (дому), построенном как на садовом, так и на дачном земельном участке.</w:t>
      </w:r>
      <w:proofErr w:type="gramEnd"/>
      <w:r w:rsidRPr="00BD1420">
        <w:rPr>
          <w:rFonts w:ascii="Times New Roman" w:eastAsia="Times New Roman" w:hAnsi="Times New Roman" w:cs="Times New Roman"/>
          <w:sz w:val="28"/>
          <w:szCs w:val="28"/>
          <w:lang w:eastAsia="ru-RU"/>
        </w:rPr>
        <w:t xml:space="preserve"> В соответствии со статьей 19 Федерального закона от 15 апреля 1998 года № 66-ФЗ «О садоводческих, огороднических и дачных некоммерческих объединениях граждан» члены садоводческого или дачного некоммерческого объединения имеют право осуществлять в соответствии с установленными требованиями строительство и перестройку жилого строения, хозяйственных строений и сооружений - на садовом земельном участке; жилого строения или жилого дома, хозяйственных строений и сооружений - на дачном земельном участке. Местом нахождения дачи является место нахождения дачного или садового земельного участка.</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5 «Гаражи».</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Гараж - помещение для стоянки и ремонта автомобилей может находиться как в индивидуальной, так и в общей собственности. Право собственности на гараж подтверждается свидетельством о государственной регистрации права собственности (иным правоустанавливающим документам). </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6 «Иное недвижимое имущество».</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К иному недвижимому имуществу относятся жилые помещения в виде комнат, а также здания, сооружения, объекты незавершенного строительства. В соответствии с Жилищным кодексом Российской Федерации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 В случае если у гражданского служащего в собственности находится комната, все сведения об этом виде имущества необходимо указывать в соответствии со </w:t>
      </w:r>
      <w:r w:rsidRPr="00BD1420">
        <w:rPr>
          <w:rFonts w:ascii="Times New Roman" w:eastAsia="Times New Roman" w:hAnsi="Times New Roman" w:cs="Times New Roman"/>
          <w:sz w:val="28"/>
          <w:szCs w:val="28"/>
          <w:lang w:eastAsia="ru-RU"/>
        </w:rPr>
        <w:lastRenderedPageBreak/>
        <w:t xml:space="preserve">свидетельством о регистрации права собственности. В соответствии со статьей 219 Гражданского кодекса Российской Федерации 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 Единого законодательного понятия «объект незавершенного строительства» на сегодняшний день не существует. Объект незавершенного строительства возникает в момент приобретения им свойств недвижимого имущества: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1. объект должен быть прочно связан с землей; 2. его перемещение невозможно без несоразмерного ущерба его назначению (ст. 130 Гражданского кодекса Российской Федерации). </w:t>
      </w:r>
      <w:proofErr w:type="gramStart"/>
      <w:r w:rsidRPr="00BD1420">
        <w:rPr>
          <w:rFonts w:ascii="Times New Roman" w:eastAsia="Times New Roman" w:hAnsi="Times New Roman" w:cs="Times New Roman"/>
          <w:sz w:val="28"/>
          <w:szCs w:val="28"/>
          <w:lang w:eastAsia="ru-RU"/>
        </w:rPr>
        <w:t xml:space="preserve">К объектам, находящимся в незавершенном строительстве, относятся объекты: - строительство которых продолжается; </w:t>
      </w:r>
      <w:r w:rsidRPr="00BD1420">
        <w:rPr>
          <w:rFonts w:ascii="Times New Roman" w:eastAsia="Times New Roman" w:hAnsi="Times New Roman" w:cs="Times New Roman"/>
          <w:sz w:val="28"/>
          <w:szCs w:val="28"/>
          <w:lang w:eastAsia="ru-RU"/>
        </w:rPr>
        <w:br/>
        <w:t>- строительство которых приостановлено, законсервировано или окончательно прекращено, но не списано в установленном порядке; находящиеся в эксплуатации, по которым акты приемки еще не оформлены в установленном порядке.</w:t>
      </w:r>
      <w:proofErr w:type="gramEnd"/>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Право собственности на объект незавершенного строительства подтверждается свидетельством о государственной регистрации права собственности (иным правоустанавливающим документам).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указывается вид собственности (индивидуальная, общая). В данном случае вид отношений собственности зависит от субъекта собственности. Имущество, находящееся в собственности одного лица – это индивидуальная собственность, двух или нескольких лиц - общая собственность.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 Для совместной собственности указываются иные лица (Ф.И.О. или наименование), в собственности которых находится имущество (например, земельный участок может находиться в совместной собственности супругов). </w:t>
      </w:r>
      <w:proofErr w:type="gramStart"/>
      <w:r w:rsidRPr="00BD1420">
        <w:rPr>
          <w:rFonts w:ascii="Times New Roman" w:eastAsia="Times New Roman" w:hAnsi="Times New Roman" w:cs="Times New Roman"/>
          <w:sz w:val="28"/>
          <w:szCs w:val="28"/>
          <w:lang w:eastAsia="ru-RU"/>
        </w:rPr>
        <w:t xml:space="preserve">Для долевой собственности указывается доля гражданского служащего, например, в свидетельстве о регистрации доли в праве собственности на квартиру указывается размер этой доли). </w:t>
      </w:r>
      <w:proofErr w:type="gramEnd"/>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графах 4,5 указываются место нахождения (адрес) и площадь (кв. м) недвижимого имущества. Данная информация указывается согласно свидетельству о регистрации собственности (иным правоустанавливающим документам).</w:t>
      </w:r>
    </w:p>
    <w:p w:rsidR="00AE09F7" w:rsidRPr="00B249B1" w:rsidRDefault="00BD1420" w:rsidP="00BA515C">
      <w:pPr>
        <w:spacing w:after="0" w:line="240" w:lineRule="auto"/>
        <w:ind w:firstLine="708"/>
        <w:jc w:val="both"/>
        <w:rPr>
          <w:rFonts w:ascii="Times New Roman" w:eastAsia="Times New Roman" w:hAnsi="Times New Roman" w:cs="Times New Roman"/>
          <w:b/>
          <w:sz w:val="28"/>
          <w:szCs w:val="28"/>
          <w:u w:val="single"/>
          <w:lang w:eastAsia="ru-RU"/>
        </w:rPr>
      </w:pPr>
      <w:bookmarkStart w:id="0" w:name="_GoBack"/>
      <w:r w:rsidRPr="00BD1420">
        <w:rPr>
          <w:rFonts w:ascii="Times New Roman" w:eastAsia="Times New Roman" w:hAnsi="Times New Roman" w:cs="Times New Roman"/>
          <w:b/>
          <w:sz w:val="28"/>
          <w:szCs w:val="28"/>
          <w:u w:val="single"/>
          <w:lang w:eastAsia="ru-RU"/>
        </w:rPr>
        <w:t>2.2. Транспортные средства</w:t>
      </w:r>
    </w:p>
    <w:bookmarkEnd w:id="0"/>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Графа 2 «Вид и марка транспортного средства» заполняется согласно свидетельству о регистрации транспортного средства.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«Вид собственности»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гражданского служащего, который представляет сведения.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lastRenderedPageBreak/>
        <w:t>В графе 4 «Место регистрации» указывается тот уполномоченный орган государственной власти, в котором осуществлялась регистрация транспортного средства (например:</w:t>
      </w:r>
      <w:proofErr w:type="gramEnd"/>
      <w:r w:rsidRPr="00BD1420">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 xml:space="preserve">ГИБДД 7 отд. МОТОТРЭР ЮЗАО Москвы). </w:t>
      </w:r>
      <w:proofErr w:type="gramEnd"/>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 Протоколом совещания у заместителя Министра здравоохранения и социального развития от 20.12.2011 № 4/17/74 сведения о транспортных средствах, находящихся в угоне, либо снятых с регистрационного учета, подлежат отражению так же в подразделе 2.2 «Транспортные средства» Справки.</w:t>
      </w:r>
    </w:p>
    <w:p w:rsidR="00AE09F7" w:rsidRDefault="00AE09F7" w:rsidP="00D74C6F">
      <w:pPr>
        <w:spacing w:after="0" w:line="240" w:lineRule="auto"/>
        <w:jc w:val="both"/>
        <w:rPr>
          <w:rFonts w:ascii="Times New Roman" w:eastAsia="Times New Roman" w:hAnsi="Times New Roman" w:cs="Times New Roman"/>
          <w:b/>
          <w:bCs/>
          <w:sz w:val="28"/>
          <w:szCs w:val="28"/>
          <w:lang w:eastAsia="ru-RU"/>
        </w:rPr>
      </w:pPr>
    </w:p>
    <w:p w:rsidR="008D3D72" w:rsidRDefault="00BD1420" w:rsidP="00913F16">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3. Сведения о денежных средствах, находящихся на счетах в банках и иных кредитных организациях</w:t>
      </w:r>
    </w:p>
    <w:p w:rsidR="00BD1420" w:rsidRPr="00BD1420" w:rsidRDefault="00BD1420" w:rsidP="00AE09F7">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1 Федерального закона от 2 декабря 1990 № 395-1 «О банках и банковской деятельности» видами кредитных организаций являются банки и небанковские кредитные организации (НКО). Небанковская кредитная организация - кредитная организация, имеющая право осуществлять отдельные банковские операции, предусмотренные Федеральным законом «О банках и банковской деятельности». На балансах банков открываются различные виды счетов (депозитный, текущий, ссудный и др.). Основанием открытия банковского счета является договор. Стороной договора может выступать кредитная организация, Банк России, а также организации, которым федеральными законами предоставлено право проведения банковской операции по открытию и ведению банковских счетов. Вкладной (депозитный) счет предназначен для хранения временно свободных денежных средств. </w:t>
      </w:r>
    </w:p>
    <w:p w:rsidR="00BD1420" w:rsidRPr="00BD1420"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Такой счет открывается клиенту банка на основании заключенного договора банковского вклада. По договору банковского вклада (депозита) одна сторона (кредитная организация), принявшая поступившую 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этим договором. Сведения по банковским вкладам (депозитным счетам), в том числе наименование и место нахождения банка (филиала банка), номер счёта по вкладу все суммы денежных средств, зачисленных на счет и списанных со счета, остаток денежных средств на счете указываются в сберегательной книжке. </w:t>
      </w:r>
      <w:proofErr w:type="gramStart"/>
      <w:r w:rsidRPr="00BD1420">
        <w:rPr>
          <w:rFonts w:ascii="Times New Roman" w:eastAsia="Times New Roman" w:hAnsi="Times New Roman" w:cs="Times New Roman"/>
          <w:sz w:val="28"/>
          <w:szCs w:val="28"/>
          <w:lang w:eastAsia="ru-RU"/>
        </w:rPr>
        <w:t>Под текущим счетом физического лица понимается банковский счет, открываемый физическому лицу в банке на основании договора банковского счета, предусматривающего совершение расчетных операций, не связанных с открываемый в банке-кредиторе для перечисления кредитных средств и для последующего зачисления на него платежей по кредиту.</w:t>
      </w:r>
      <w:proofErr w:type="gramEnd"/>
      <w:r w:rsidRPr="00BD1420">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Ссудный счет предусмотрен правилами бухучета и нужны для отражения на балансе банка операций по предоставлению заемщикам и возврату ими денежных средств (кредитов) в соответствии с заключенными кредитными договорами.</w:t>
      </w:r>
      <w:proofErr w:type="gramEnd"/>
      <w:r w:rsidRPr="00BD1420">
        <w:rPr>
          <w:rFonts w:ascii="Times New Roman" w:eastAsia="Times New Roman" w:hAnsi="Times New Roman" w:cs="Times New Roman"/>
          <w:sz w:val="28"/>
          <w:szCs w:val="28"/>
          <w:lang w:eastAsia="ru-RU"/>
        </w:rPr>
        <w:t xml:space="preserve"> Датой открытия счета является дата заключения договора. Остаток на счете указывается по состоянию на отчетную дату. Для счетов в иностранной </w:t>
      </w:r>
      <w:r w:rsidRPr="00BD1420">
        <w:rPr>
          <w:rFonts w:ascii="Times New Roman" w:eastAsia="Times New Roman" w:hAnsi="Times New Roman" w:cs="Times New Roman"/>
          <w:sz w:val="28"/>
          <w:szCs w:val="28"/>
          <w:lang w:eastAsia="ru-RU"/>
        </w:rPr>
        <w:lastRenderedPageBreak/>
        <w:t>валюте остаток указывается в рублях по курсу Банка России на отчетную дату. Отчётной датой считается последний день отчётного периода, то есть 31 декабря года, являющегося отчётным. Кроме того, в данном разделе отражается остаток на счете банковской карты по состоянию на отчетную дату, в том числе по кредитной банковской карте, и по банковской карте, открытой для перечисления заработной платы. Информация о состоянии счета клиента предоставляется банком.</w:t>
      </w:r>
    </w:p>
    <w:p w:rsidR="008D3D72" w:rsidRDefault="00BD1420" w:rsidP="00913F16">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4.Сведения о ценных бумагах</w:t>
      </w:r>
    </w:p>
    <w:p w:rsidR="00AE197F"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sz w:val="28"/>
          <w:szCs w:val="28"/>
          <w:lang w:eastAsia="ru-RU"/>
        </w:rPr>
        <w:br/>
      </w:r>
      <w:r w:rsidRPr="00BD1420">
        <w:rPr>
          <w:rFonts w:ascii="Times New Roman" w:eastAsia="Times New Roman" w:hAnsi="Times New Roman" w:cs="Times New Roman"/>
          <w:i/>
          <w:iCs/>
          <w:sz w:val="28"/>
          <w:szCs w:val="28"/>
          <w:lang w:eastAsia="ru-RU"/>
        </w:rPr>
        <w:t>4.1. Акции и иное участие в коммерческих организациях</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Акция -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BD1420" w:rsidRPr="00BD1420"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2 указываются полное или сокращенное официальное наименование организац</w:t>
      </w:r>
      <w:proofErr w:type="gramStart"/>
      <w:r w:rsidRPr="00BD1420">
        <w:rPr>
          <w:rFonts w:ascii="Times New Roman" w:eastAsia="Times New Roman" w:hAnsi="Times New Roman" w:cs="Times New Roman"/>
          <w:sz w:val="28"/>
          <w:szCs w:val="28"/>
          <w:lang w:eastAsia="ru-RU"/>
        </w:rPr>
        <w:t>ии и ее</w:t>
      </w:r>
      <w:proofErr w:type="gramEnd"/>
      <w:r w:rsidRPr="00BD1420">
        <w:rPr>
          <w:rFonts w:ascii="Times New Roman" w:eastAsia="Times New Roman" w:hAnsi="Times New Roman" w:cs="Times New Roman"/>
          <w:sz w:val="28"/>
          <w:szCs w:val="28"/>
          <w:lang w:eastAsia="ru-RU"/>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другие). Например, ОАО «Сбербанк России», ОАО «Газпром»; и т.д. </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Графа 4. Уставный капитал указывается согласно учредительным документам организации по состоянию на отчетную дату. Например, сумма уставного капитала ОАО «Газпром» отображена в Уставе Открытого Акционерного Общества «Газпром»; Сбербанк России – в Уставе Сбербанка России ОАО. Уставы коммерческих организаций размещаются на их официальных Интернет-сайтах. Для уставных капиталов, выраженных в иностранной валюте, уставный капитал указывается в рублях по курсу Банка России на отчетную дату.</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Графа 5. «Доля участия». Доля участия выражается в процентах от уставного капитала. Для акционерных обществ указываются также номинальная стоимость и количество акций. Доля участия вычисляется по формуле: номинальная стоимость 1 акции х количество акций х 100 % уставного капитала (руб.) </w:t>
      </w:r>
    </w:p>
    <w:p w:rsidR="00AE197F" w:rsidRDefault="00BD1420" w:rsidP="00D74C6F">
      <w:pPr>
        <w:spacing w:after="0" w:line="240" w:lineRule="auto"/>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 xml:space="preserve">В графе 6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w:t>
      </w:r>
      <w:proofErr w:type="gramEnd"/>
    </w:p>
    <w:p w:rsidR="00AE197F"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 xml:space="preserve">4.2. Иные ценные бумаги </w:t>
      </w:r>
    </w:p>
    <w:p w:rsidR="00AE197F" w:rsidRDefault="00BD1420" w:rsidP="00D74C6F">
      <w:pPr>
        <w:spacing w:after="0" w:line="240" w:lineRule="auto"/>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143 Гражданского кодекса Российской Федерации к ценным бумагам относятся: государственная облигация, облигация, вексель, чек, депозитный и сберегательный сертификаты, банковская сберегательная книжка на предъявителя, коносамент, акция, приватизационные ценные бумаги и другие документы, которые законами о ценных бумагах или в установленном ими порядке отнесены к числу ценных бумаг.</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lastRenderedPageBreak/>
        <w:t xml:space="preserve">В графе 2 указываются все ценные бумаги по видам (облигации, векселя, сберегательные сертификаты и другие), за исключением акций, указанных в подразделе «Акции и иное участие в коммерческих организациях». Информация необходимая для заполнения граф 3,4,5 указана на самой ценной бумаге (вексель, облигация и др.). </w:t>
      </w:r>
    </w:p>
    <w:p w:rsidR="00BD1420" w:rsidRPr="00BD1420"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6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Суммарная декларированная стоимость ценных бумаг, включая доли участия в коммерческих организациях (руб.), определяется как совокупная стоимость акций и иного участия в коммерческих организациях (подраздел 4.1. настоящего раздела) и иных ценных бумаг (подраздел 4.2. настоящего раздела).</w:t>
      </w:r>
    </w:p>
    <w:p w:rsidR="008D3D72" w:rsidRDefault="00BD1420" w:rsidP="00AE197F">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5. Сведения об обязательствах имущественного характера.</w:t>
      </w:r>
    </w:p>
    <w:p w:rsidR="00F40DE4" w:rsidRDefault="00BD1420" w:rsidP="00AE197F">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соответствии со статьей 307 Гражданского кодекса Российской Федерации под обязательствами имущественного характера понимаются правоотношения, в силу которых одно лицо (должник) обязано совершить в пользу другого лица (кредитора) определенное действие – передать имущество, выполнить работу, оказать услугу, уплатить деньги и т.п., либо воздержаться от определенного действия, а кредитор вправе требовать от должника исполнения его обязанностей.</w:t>
      </w:r>
      <w:proofErr w:type="gramEnd"/>
    </w:p>
    <w:p w:rsidR="00BD1420" w:rsidRPr="00BD1420" w:rsidRDefault="00BD1420" w:rsidP="00AE197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sz w:val="28"/>
          <w:szCs w:val="28"/>
          <w:u w:val="single"/>
          <w:lang w:eastAsia="ru-RU"/>
        </w:rPr>
        <w:t>5.1. Объекты недвижимого имущества, находящиеся в пользовании</w:t>
      </w:r>
      <w:r w:rsidRPr="00BD1420">
        <w:rPr>
          <w:rFonts w:ascii="Times New Roman" w:eastAsia="Times New Roman" w:hAnsi="Times New Roman" w:cs="Times New Roman"/>
          <w:sz w:val="28"/>
          <w:szCs w:val="28"/>
          <w:lang w:eastAsia="ru-RU"/>
        </w:rPr>
        <w:br/>
        <w:t xml:space="preserve">Сведения, представляемые в данном подразделе, касаются объектов недвижимого имущества, находящегося в пользовании. </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соответствии с пунктом 2 статьи 677, пункта 2 статьи 683 Гражданского кодекса Российской Федерации, части 2 статьи 69, части 5 статьи 100 Жилищного кодекса Российской Федерации члены семьи нанимателя имеют равные с ним права по пользованию жилым помещением. Поэтому в случае, когда гражданский служащий является членом семьи нанимателя по договору найма жилого помещения, в Справке он обязан указывать сведения о пользовании этим жилым помещением. </w:t>
      </w:r>
      <w:proofErr w:type="gramStart"/>
      <w:r w:rsidRPr="00BD1420">
        <w:rPr>
          <w:rFonts w:ascii="Times New Roman" w:eastAsia="Times New Roman" w:hAnsi="Times New Roman" w:cs="Times New Roman"/>
          <w:sz w:val="28"/>
          <w:szCs w:val="28"/>
          <w:lang w:eastAsia="ru-RU"/>
        </w:rPr>
        <w:t>Гражданский служащий, проживающий в жилом помещении, собственником которого является ее (его) супруг (супруга) или иные близкие родственники, должен указывать в Справке это жилое помещение в объектах недвижимого имущества, находящихся в пользовании, при этом вид пользования необходимо указывать безвозмездное пользование, сроки пользования в данном случае не указываются, основанием пользования является фактическое предоставление без указания реквизитов договора или акта.</w:t>
      </w:r>
      <w:proofErr w:type="gramEnd"/>
      <w:r w:rsidRPr="00BD1420">
        <w:rPr>
          <w:rFonts w:ascii="Times New Roman" w:eastAsia="Times New Roman" w:hAnsi="Times New Roman" w:cs="Times New Roman"/>
          <w:sz w:val="28"/>
          <w:szCs w:val="28"/>
          <w:lang w:eastAsia="ru-RU"/>
        </w:rPr>
        <w:t xml:space="preserve"> В соответствии с частью 2 статьи 31 Жилищного кодекса Российской Федерации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Необходимо учитывать, что объекты недвижимого имущества могут находиться в </w:t>
      </w:r>
      <w:r w:rsidRPr="00BD1420">
        <w:rPr>
          <w:rFonts w:ascii="Times New Roman" w:eastAsia="Times New Roman" w:hAnsi="Times New Roman" w:cs="Times New Roman"/>
          <w:sz w:val="28"/>
          <w:szCs w:val="28"/>
          <w:lang w:eastAsia="ru-RU"/>
        </w:rPr>
        <w:lastRenderedPageBreak/>
        <w:t xml:space="preserve">пользовании на разных основаниях. Например, земельный участок может предоставляться в пользование на основании договоров аренды, субаренды, безвозмездного срочного пользования, в пожизненное владение. Квартира – на основании договора найма жилого помещения, договора поднайма жилого помещения, договора социального найма, договора найма специализированного жилого помещения, договора безвозмездного пользования жилым помещением. </w:t>
      </w:r>
    </w:p>
    <w:p w:rsidR="00913F16"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2 – указывается вид недвижимости (земельный участок, жилой дом, квартира, дача и др.) находящиеся в пользовании по состоянию на отчетную дату;</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 вид и сроки пользования (аренда, субаренда, наем жилого помещения, наем специализированного жилого помещения, социальный наем жилого помещения, безвозмездное пользование и др.); </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4 – указывается основание пользования (договор, фактическое предоставление и др.), а так же реквизиты (дата, номер) соответствующего договора или акта. </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Пруд, обводненный карьер, расположенные в границах земельного участка, принадлежащего на праве собственности гражданскому служащему (членам его семьи), не указываются как обособленное имущество, поскольку не допускается отчуждение таких водных объектов без отчуждения земельных участков, в границах которых они расположены.</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случае если водный объект предоставлен гражданскому служащему (членам его семьи) в пользование на основании договора водопользования или решения о предоставлении водных объектов в пользование, соответствующие сведения отражаются в подразделе 5.1 «Объекты недвижимого имущества, находящиеся в пользовании» Справки. (Протокол совещания у заместителя Министра здравоохранения и социального развития от 20.12.2011 № 4/17/74).</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Раздел 5.1 «Объекты недвижимого имущества, находящиеся в пользовании» заполняется в обязательном порядке теми гражданскими служащими, которые по месту прохождения гражданской службы (например, в соответствующем субъекте Российской Федерации) имеют временную регистрацию (Протокол совещания у заместителя Министра здравоохранения и социального развития от 20.12.2011 № 4/17/74).</w:t>
      </w:r>
    </w:p>
    <w:p w:rsidR="00F40DE4" w:rsidRDefault="00BD1420" w:rsidP="00D74C6F">
      <w:pPr>
        <w:spacing w:after="0" w:line="240" w:lineRule="auto"/>
        <w:jc w:val="both"/>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Подлежат указанию:</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w:t>
      </w:r>
      <w:r w:rsidR="00913F16">
        <w:rPr>
          <w:rFonts w:ascii="Times New Roman" w:eastAsia="Times New Roman" w:hAnsi="Times New Roman" w:cs="Times New Roman"/>
          <w:sz w:val="28"/>
          <w:szCs w:val="28"/>
          <w:lang w:eastAsia="ru-RU"/>
        </w:rPr>
        <w:tab/>
      </w:r>
      <w:r w:rsidRPr="00BD1420">
        <w:rPr>
          <w:rFonts w:ascii="Times New Roman" w:eastAsia="Times New Roman" w:hAnsi="Times New Roman" w:cs="Times New Roman"/>
          <w:sz w:val="28"/>
          <w:szCs w:val="28"/>
          <w:lang w:eastAsia="ru-RU"/>
        </w:rPr>
        <w:t>о жилой площади (дом, дача, квартира и т.д.), не принадлежащей гражданскому служащему или членам его семьи на праве собственности или на праве нанимателя, где он (они) фактически проживает по состоянию на отчетную дату без заключения договора аренды, безвозмездного пользования или социального найма;</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о квартирах, занимаемых по договорам социального найма.</w:t>
      </w:r>
    </w:p>
    <w:p w:rsidR="00F40DE4" w:rsidRPr="00913F16" w:rsidRDefault="00BD1420" w:rsidP="00D74C6F">
      <w:pPr>
        <w:spacing w:after="0" w:line="240" w:lineRule="auto"/>
        <w:jc w:val="both"/>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t xml:space="preserve">5.2. Прочие обязательства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данном разделе указываются имеющиеся на отчетную дату срочные обязательства финансового характера на сумму, превышающую 100-</w:t>
      </w:r>
      <w:r w:rsidRPr="00BD1420">
        <w:rPr>
          <w:rFonts w:ascii="Times New Roman" w:eastAsia="Times New Roman" w:hAnsi="Times New Roman" w:cs="Times New Roman"/>
          <w:sz w:val="28"/>
          <w:szCs w:val="28"/>
          <w:lang w:eastAsia="ru-RU"/>
        </w:rPr>
        <w:lastRenderedPageBreak/>
        <w:t xml:space="preserve">кратный минимальный </w:t>
      </w:r>
      <w:proofErr w:type="gramStart"/>
      <w:r w:rsidRPr="00BD1420">
        <w:rPr>
          <w:rFonts w:ascii="Times New Roman" w:eastAsia="Times New Roman" w:hAnsi="Times New Roman" w:cs="Times New Roman"/>
          <w:sz w:val="28"/>
          <w:szCs w:val="28"/>
          <w:lang w:eastAsia="ru-RU"/>
        </w:rPr>
        <w:t>размер оплаты труда</w:t>
      </w:r>
      <w:proofErr w:type="gramEnd"/>
      <w:r w:rsidRPr="00BD1420">
        <w:rPr>
          <w:rFonts w:ascii="Times New Roman" w:eastAsia="Times New Roman" w:hAnsi="Times New Roman" w:cs="Times New Roman"/>
          <w:sz w:val="28"/>
          <w:szCs w:val="28"/>
          <w:lang w:eastAsia="ru-RU"/>
        </w:rPr>
        <w:t>, установленный на отчетную дату (на 31.12.201</w:t>
      </w:r>
      <w:r w:rsidR="00647027">
        <w:rPr>
          <w:rFonts w:ascii="Times New Roman" w:eastAsia="Times New Roman" w:hAnsi="Times New Roman" w:cs="Times New Roman"/>
          <w:sz w:val="28"/>
          <w:szCs w:val="28"/>
          <w:lang w:eastAsia="ru-RU"/>
        </w:rPr>
        <w:t>2</w:t>
      </w:r>
      <w:r w:rsidRPr="00BD1420">
        <w:rPr>
          <w:rFonts w:ascii="Times New Roman" w:eastAsia="Times New Roman" w:hAnsi="Times New Roman" w:cs="Times New Roman"/>
          <w:sz w:val="28"/>
          <w:szCs w:val="28"/>
          <w:lang w:eastAsia="ru-RU"/>
        </w:rPr>
        <w:t xml:space="preserve"> - </w:t>
      </w:r>
      <w:r w:rsidR="00647027">
        <w:rPr>
          <w:rFonts w:ascii="Times New Roman" w:eastAsia="Times New Roman" w:hAnsi="Times New Roman" w:cs="Times New Roman"/>
          <w:sz w:val="28"/>
          <w:szCs w:val="28"/>
          <w:lang w:eastAsia="ru-RU"/>
        </w:rPr>
        <w:t>5205</w:t>
      </w:r>
      <w:r w:rsidRPr="00BD1420">
        <w:rPr>
          <w:rFonts w:ascii="Times New Roman" w:eastAsia="Times New Roman" w:hAnsi="Times New Roman" w:cs="Times New Roman"/>
          <w:sz w:val="28"/>
          <w:szCs w:val="28"/>
          <w:lang w:eastAsia="ru-RU"/>
        </w:rPr>
        <w:t xml:space="preserve"> руб.).</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307 Гражданского кодекса Российской Федерации в силу обязательства одно лицо (должник) обязано совершить в пользу другого лица (кредитора) определенное действие, как-то: передать имущество, выполнить работу, уплатить деньги и т.п., либо воздержаться от определенного действия, а кредитор имеет право требовать от должника исполнения его обязанности.</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2 – указывается существо обязательства (заем, кредит, исполнение вступившего в силу решения суда и др.).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указывается вторая сторона обязательства: кредитор или должник, его фамилия, имя и отчество (наименование юридического лица), адрес. Если гражданский служащий взял кредит в банке и является должником, то в графе указывается вторая сторона обязательства – кредитор согласно кредитному договору.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4 указываются основание возникновения обязательства (договор, исполнительный лист, передача денег или имущества и другие), а также реквизиты (дата, номер) соответствующего договора или акта.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5 указывается сумма основного обязательства (без суммы процентов) согласно условиям заключенного договора. Для обязательств, выраженных в иностранной валюте, сумма указывается в рублях по курсу Банка России на отчетную дату. </w:t>
      </w:r>
    </w:p>
    <w:p w:rsidR="00913F16"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6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 В данном разделе также отражается информация о кредитах по банковской пластиковой карте в случае, если они превышают 100-кратный минимальный </w:t>
      </w:r>
      <w:proofErr w:type="gramStart"/>
      <w:r w:rsidRPr="00BD1420">
        <w:rPr>
          <w:rFonts w:ascii="Times New Roman" w:eastAsia="Times New Roman" w:hAnsi="Times New Roman" w:cs="Times New Roman"/>
          <w:sz w:val="28"/>
          <w:szCs w:val="28"/>
          <w:lang w:eastAsia="ru-RU"/>
        </w:rPr>
        <w:t>размер оплаты труда</w:t>
      </w:r>
      <w:proofErr w:type="gramEnd"/>
      <w:r w:rsidRPr="00BD1420">
        <w:rPr>
          <w:rFonts w:ascii="Times New Roman" w:eastAsia="Times New Roman" w:hAnsi="Times New Roman" w:cs="Times New Roman"/>
          <w:sz w:val="28"/>
          <w:szCs w:val="28"/>
          <w:lang w:eastAsia="ru-RU"/>
        </w:rPr>
        <w:t xml:space="preserve">.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Сведения о доходах, об имуществе и обязательствах имущественного характера предоставляются отдельно на супругу (супруга) и на каждого из несовершеннолетних детей гражданского служащего. </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Данные Справки заполняются и подписываются гражданским служащим, представляющим сведения.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случае если гражданский служащий обнаружил, что в представленных им сведениях о полученных им доходах, об имуществе, принадлежащим ему на праве собственности, и об их обязательствах имущественного характера, а также сведения о доходах супруги (супруга) и несовершеннолетних детей, об их имуществе принадлежащим ему на праве собственности, и об их обязательствах имущественного характера не отражена или не полностью отражена какая-либо информация</w:t>
      </w:r>
      <w:proofErr w:type="gramEnd"/>
      <w:r w:rsidRPr="00BD1420">
        <w:rPr>
          <w:rFonts w:ascii="Times New Roman" w:eastAsia="Times New Roman" w:hAnsi="Times New Roman" w:cs="Times New Roman"/>
          <w:sz w:val="28"/>
          <w:szCs w:val="28"/>
          <w:lang w:eastAsia="ru-RU"/>
        </w:rPr>
        <w:t xml:space="preserve"> или имеются ошибки, он вправе представить уточненные сведения в течение года после подачи сведений о доходах, об имуществе и обязательствах имущественного характера.</w:t>
      </w:r>
    </w:p>
    <w:p w:rsidR="00F40DE4" w:rsidRDefault="00F40DE4"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w:t>
      </w:r>
      <w:r w:rsidR="00BD1420" w:rsidRPr="00BD1420">
        <w:rPr>
          <w:rFonts w:ascii="Times New Roman" w:eastAsia="Times New Roman" w:hAnsi="Times New Roman" w:cs="Times New Roman"/>
          <w:sz w:val="28"/>
          <w:szCs w:val="28"/>
          <w:lang w:eastAsia="ru-RU"/>
        </w:rPr>
        <w:t xml:space="preserve">При представлении уточненных сведений гражданским служащим данный факт может быть рассмотрен на комиссии по соблюдению </w:t>
      </w:r>
      <w:r w:rsidR="00BD1420" w:rsidRPr="00BD1420">
        <w:rPr>
          <w:rFonts w:ascii="Times New Roman" w:eastAsia="Times New Roman" w:hAnsi="Times New Roman" w:cs="Times New Roman"/>
          <w:sz w:val="28"/>
          <w:szCs w:val="28"/>
          <w:lang w:eastAsia="ru-RU"/>
        </w:rPr>
        <w:lastRenderedPageBreak/>
        <w:t>требований к служебному поведению федеральных государственных служащих и урегулированию конфликта интересов (Протокол совещания у заместителя Министра здравоохранения и социального развития от 20.12.2011 № 4/17/74).</w:t>
      </w:r>
    </w:p>
    <w:p w:rsidR="001F73F0" w:rsidRDefault="00BD1420" w:rsidP="00F40DE4">
      <w:pPr>
        <w:spacing w:after="0" w:line="240" w:lineRule="auto"/>
        <w:ind w:firstLine="708"/>
        <w:jc w:val="both"/>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sz w:val="28"/>
          <w:szCs w:val="28"/>
          <w:lang w:eastAsia="ru-RU"/>
        </w:rPr>
        <w:t xml:space="preserve">В соответствии с Протоколами совещаний у заместителя Министра здравоохранения и социального развития Российской Федерации от 18.03.2011 № 17-1/460 и от 20.12.2011№ 4/17/74 при заполнении справки </w:t>
      </w:r>
      <w:r w:rsidRPr="00BD1420">
        <w:rPr>
          <w:rFonts w:ascii="Times New Roman" w:eastAsia="Times New Roman" w:hAnsi="Times New Roman" w:cs="Times New Roman"/>
          <w:b/>
          <w:bCs/>
          <w:sz w:val="28"/>
          <w:szCs w:val="28"/>
          <w:lang w:eastAsia="ru-RU"/>
        </w:rPr>
        <w:t>особое внимание следует обратить на следующие вопросы:</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1. В случае если гражданский служащий не проживает совместно с супругой (супругом) и сведения о которой (котором) отсутствуют, и не имеет возможности представить точные сведения в связи с объективными причинами, то он предоставляет данные сведения на </w:t>
      </w:r>
      <w:proofErr w:type="gramStart"/>
      <w:r w:rsidRPr="00BD1420">
        <w:rPr>
          <w:rFonts w:ascii="Times New Roman" w:eastAsia="Times New Roman" w:hAnsi="Times New Roman" w:cs="Times New Roman"/>
          <w:sz w:val="28"/>
          <w:szCs w:val="28"/>
          <w:lang w:eastAsia="ru-RU"/>
        </w:rPr>
        <w:t>основе</w:t>
      </w:r>
      <w:proofErr w:type="gramEnd"/>
      <w:r w:rsidRPr="00BD1420">
        <w:rPr>
          <w:rFonts w:ascii="Times New Roman" w:eastAsia="Times New Roman" w:hAnsi="Times New Roman" w:cs="Times New Roman"/>
          <w:sz w:val="28"/>
          <w:szCs w:val="28"/>
          <w:lang w:eastAsia="ru-RU"/>
        </w:rPr>
        <w:t xml:space="preserve"> имеющейся у него информации. Данный факт подлежит рассмотрению на комиссии по соблюдению требований к служебному поведению федеральных государственных служащих и урегулированию конфликта интересов для выявления обстоятельств, по причине которых предоставить соответствующие сведения не представляется возможным.</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2. Если гражданский служащий является опекуном, пособие на ребенка вносится в справку о доходах, об имуществе и обязательствах имущественного характера ребенка.</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 При предоставлении сведений о доходах в Справке не отражаются следующие выплаты, полученные гражданским служащим (членами его семьи) в отчетный период:</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3.1. возмещение расходов, связанных со служебными командировками, включающих: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расходы по проезду к месту командирования и обратно к постоянному месту прохождения гражданской службы;</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расходы по проезду из одного населенного пункта в другой, если служащий командирован в несколько государственных органов (организаций), расположенных в разных населенных пунктах;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расходы по найму жилого помещения;</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дополнительные расходы, связанные с проживанием вне постоянного места жительства (суточные);</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иные расходы, связанные со служебной командировкой (при условии, что они произведены гражданским служащим с разрешения или </w:t>
      </w:r>
      <w:proofErr w:type="gramStart"/>
      <w:r w:rsidRPr="00BD1420">
        <w:rPr>
          <w:rFonts w:ascii="Times New Roman" w:eastAsia="Times New Roman" w:hAnsi="Times New Roman" w:cs="Times New Roman"/>
          <w:sz w:val="28"/>
          <w:szCs w:val="28"/>
          <w:lang w:eastAsia="ru-RU"/>
        </w:rPr>
        <w:t>ведома</w:t>
      </w:r>
      <w:proofErr w:type="gramEnd"/>
      <w:r w:rsidRPr="00BD1420">
        <w:rPr>
          <w:rFonts w:ascii="Times New Roman" w:eastAsia="Times New Roman" w:hAnsi="Times New Roman" w:cs="Times New Roman"/>
          <w:sz w:val="28"/>
          <w:szCs w:val="28"/>
          <w:lang w:eastAsia="ru-RU"/>
        </w:rPr>
        <w:t xml:space="preserve"> представителя нанимателя (уполномоченного им лица);</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3.2 компенсация расходов на оплату проезда и провоза багажа к месту использования отпуска и обратно, в том числе представляемая лицам, работающим и проживающим в районах Крайнего Севера и приравненных к ним местностях;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3.3 средства (бонусы) на накопительных дисконтных картах, предоставленные магазинами розничной торговли, обладателем которых является гражданский служащий (члены его семьи);</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lastRenderedPageBreak/>
        <w:t>3.4. счета,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w:t>
      </w:r>
    </w:p>
    <w:p w:rsidR="00BD1420" w:rsidRPr="00BD1420"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3.5. сведения о предоставленных налоговых вычетах по налогу на доходы физических лиц, так как в соответствии с пунктом 1 статьи 56 части 1 Налогового кодекса Российской Федерации налоговый вычет является льготой по налогам и сборам, и не относится к доходам.</w:t>
      </w:r>
    </w:p>
    <w:p w:rsidR="00BD1420" w:rsidRPr="008D3D72" w:rsidRDefault="00BD1420" w:rsidP="00D74C6F">
      <w:pPr>
        <w:jc w:val="both"/>
        <w:rPr>
          <w:sz w:val="28"/>
          <w:szCs w:val="28"/>
        </w:rPr>
      </w:pPr>
    </w:p>
    <w:sectPr w:rsidR="00BD1420" w:rsidRPr="008D3D72" w:rsidSect="00867095">
      <w:pgSz w:w="11906" w:h="16838"/>
      <w:pgMar w:top="1134" w:right="1134" w:bottom="113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420"/>
    <w:rsid w:val="000072DF"/>
    <w:rsid w:val="000D5089"/>
    <w:rsid w:val="001F73F0"/>
    <w:rsid w:val="002475B7"/>
    <w:rsid w:val="0027105D"/>
    <w:rsid w:val="00272A4E"/>
    <w:rsid w:val="00574DC3"/>
    <w:rsid w:val="00647027"/>
    <w:rsid w:val="007C177D"/>
    <w:rsid w:val="007F3794"/>
    <w:rsid w:val="00867095"/>
    <w:rsid w:val="008D3D72"/>
    <w:rsid w:val="00913F16"/>
    <w:rsid w:val="00AE09F7"/>
    <w:rsid w:val="00AE197F"/>
    <w:rsid w:val="00B249B1"/>
    <w:rsid w:val="00BA515C"/>
    <w:rsid w:val="00BD1420"/>
    <w:rsid w:val="00D74C6F"/>
    <w:rsid w:val="00F40D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D1420"/>
    <w:rPr>
      <w:color w:val="0000FF"/>
      <w:u w:val="single"/>
    </w:rPr>
  </w:style>
  <w:style w:type="paragraph" w:styleId="a4">
    <w:name w:val="List Paragraph"/>
    <w:basedOn w:val="a"/>
    <w:uiPriority w:val="34"/>
    <w:qFormat/>
    <w:rsid w:val="00AE09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D1420"/>
    <w:rPr>
      <w:color w:val="0000FF"/>
      <w:u w:val="single"/>
    </w:rPr>
  </w:style>
  <w:style w:type="paragraph" w:styleId="a4">
    <w:name w:val="List Paragraph"/>
    <w:basedOn w:val="a"/>
    <w:uiPriority w:val="34"/>
    <w:qFormat/>
    <w:rsid w:val="00AE09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05706">
      <w:bodyDiv w:val="1"/>
      <w:marLeft w:val="0"/>
      <w:marRight w:val="0"/>
      <w:marTop w:val="0"/>
      <w:marBottom w:val="0"/>
      <w:divBdr>
        <w:top w:val="none" w:sz="0" w:space="0" w:color="auto"/>
        <w:left w:val="none" w:sz="0" w:space="0" w:color="auto"/>
        <w:bottom w:val="none" w:sz="0" w:space="0" w:color="auto"/>
        <w:right w:val="none" w:sz="0" w:space="0" w:color="auto"/>
      </w:divBdr>
      <w:divsChild>
        <w:div w:id="471825160">
          <w:marLeft w:val="0"/>
          <w:marRight w:val="0"/>
          <w:marTop w:val="0"/>
          <w:marBottom w:val="0"/>
          <w:divBdr>
            <w:top w:val="none" w:sz="0" w:space="0" w:color="auto"/>
            <w:left w:val="none" w:sz="0" w:space="0" w:color="auto"/>
            <w:bottom w:val="none" w:sz="0" w:space="0" w:color="auto"/>
            <w:right w:val="none" w:sz="0" w:space="0" w:color="auto"/>
          </w:divBdr>
        </w:div>
      </w:divsChild>
    </w:div>
    <w:div w:id="361790449">
      <w:bodyDiv w:val="1"/>
      <w:marLeft w:val="0"/>
      <w:marRight w:val="0"/>
      <w:marTop w:val="0"/>
      <w:marBottom w:val="0"/>
      <w:divBdr>
        <w:top w:val="none" w:sz="0" w:space="0" w:color="auto"/>
        <w:left w:val="none" w:sz="0" w:space="0" w:color="auto"/>
        <w:bottom w:val="none" w:sz="0" w:space="0" w:color="auto"/>
        <w:right w:val="none" w:sz="0" w:space="0" w:color="auto"/>
      </w:divBdr>
      <w:divsChild>
        <w:div w:id="1115100689">
          <w:marLeft w:val="0"/>
          <w:marRight w:val="0"/>
          <w:marTop w:val="0"/>
          <w:marBottom w:val="0"/>
          <w:divBdr>
            <w:top w:val="none" w:sz="0" w:space="0" w:color="auto"/>
            <w:left w:val="none" w:sz="0" w:space="0" w:color="auto"/>
            <w:bottom w:val="none" w:sz="0" w:space="0" w:color="auto"/>
            <w:right w:val="none" w:sz="0" w:space="0" w:color="auto"/>
          </w:divBdr>
        </w:div>
      </w:divsChild>
    </w:div>
    <w:div w:id="1006439105">
      <w:bodyDiv w:val="1"/>
      <w:marLeft w:val="0"/>
      <w:marRight w:val="0"/>
      <w:marTop w:val="0"/>
      <w:marBottom w:val="0"/>
      <w:divBdr>
        <w:top w:val="none" w:sz="0" w:space="0" w:color="auto"/>
        <w:left w:val="none" w:sz="0" w:space="0" w:color="auto"/>
        <w:bottom w:val="none" w:sz="0" w:space="0" w:color="auto"/>
        <w:right w:val="none" w:sz="0" w:space="0" w:color="auto"/>
      </w:divBdr>
      <w:divsChild>
        <w:div w:id="1451242281">
          <w:marLeft w:val="0"/>
          <w:marRight w:val="0"/>
          <w:marTop w:val="0"/>
          <w:marBottom w:val="0"/>
          <w:divBdr>
            <w:top w:val="none" w:sz="0" w:space="0" w:color="auto"/>
            <w:left w:val="none" w:sz="0" w:space="0" w:color="auto"/>
            <w:bottom w:val="none" w:sz="0" w:space="0" w:color="auto"/>
            <w:right w:val="none" w:sz="0" w:space="0" w:color="auto"/>
          </w:divBdr>
        </w:div>
      </w:divsChild>
    </w:div>
    <w:div w:id="1335498094">
      <w:bodyDiv w:val="1"/>
      <w:marLeft w:val="0"/>
      <w:marRight w:val="0"/>
      <w:marTop w:val="0"/>
      <w:marBottom w:val="0"/>
      <w:divBdr>
        <w:top w:val="none" w:sz="0" w:space="0" w:color="auto"/>
        <w:left w:val="none" w:sz="0" w:space="0" w:color="auto"/>
        <w:bottom w:val="none" w:sz="0" w:space="0" w:color="auto"/>
        <w:right w:val="none" w:sz="0" w:space="0" w:color="auto"/>
      </w:divBdr>
      <w:divsChild>
        <w:div w:id="1414399285">
          <w:marLeft w:val="0"/>
          <w:marRight w:val="0"/>
          <w:marTop w:val="0"/>
          <w:marBottom w:val="0"/>
          <w:divBdr>
            <w:top w:val="none" w:sz="0" w:space="0" w:color="auto"/>
            <w:left w:val="none" w:sz="0" w:space="0" w:color="auto"/>
            <w:bottom w:val="none" w:sz="0" w:space="0" w:color="auto"/>
            <w:right w:val="none" w:sz="0" w:space="0" w:color="auto"/>
          </w:divBdr>
        </w:div>
      </w:divsChild>
    </w:div>
    <w:div w:id="1923106727">
      <w:bodyDiv w:val="1"/>
      <w:marLeft w:val="0"/>
      <w:marRight w:val="0"/>
      <w:marTop w:val="0"/>
      <w:marBottom w:val="0"/>
      <w:divBdr>
        <w:top w:val="none" w:sz="0" w:space="0" w:color="auto"/>
        <w:left w:val="none" w:sz="0" w:space="0" w:color="auto"/>
        <w:bottom w:val="none" w:sz="0" w:space="0" w:color="auto"/>
        <w:right w:val="none" w:sz="0" w:space="0" w:color="auto"/>
      </w:divBdr>
      <w:divsChild>
        <w:div w:id="507790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14</Pages>
  <Words>5307</Words>
  <Characters>30256</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USNCOMPUTERS</Company>
  <LinksUpToDate>false</LinksUpToDate>
  <CharactersWithSpaces>35493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USNCOMPUTERS</dc:creator>
  <cp:keywords/>
  <dc:description/>
  <cp:lastModifiedBy>USNCOMPUTERS</cp:lastModifiedBy>
  <cp:revision>14</cp:revision>
  <dcterms:created xsi:type="dcterms:W3CDTF">2013-04-01T07:16:00Z</dcterms:created>
  <dcterms:modified xsi:type="dcterms:W3CDTF">2013-04-01T08:10:00Z</dcterms:modified>
</cp:coreProperties>
</file>