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D72" w:rsidRDefault="008D3D72" w:rsidP="003A2A26">
      <w:pPr>
        <w:pStyle w:val="1"/>
        <w:rPr>
          <w:rFonts w:eastAsia="Times New Roman"/>
          <w:lang w:eastAsia="ru-RU"/>
        </w:rPr>
      </w:pPr>
      <w:bookmarkStart w:id="0" w:name="_GoBack"/>
      <w:bookmarkEnd w:id="0"/>
      <w:r>
        <w:rPr>
          <w:rFonts w:eastAsia="Times New Roman"/>
          <w:lang w:eastAsia="ru-RU"/>
        </w:rPr>
        <w:t>Рекомендации по заполнению справок о доходах.</w:t>
      </w:r>
    </w:p>
    <w:p w:rsidR="008D3D72" w:rsidRDefault="008D3D72" w:rsidP="008D3D72">
      <w:pPr>
        <w:spacing w:after="0" w:line="240" w:lineRule="auto"/>
        <w:jc w:val="both"/>
        <w:rPr>
          <w:rFonts w:ascii="Times New Roman" w:eastAsia="Times New Roman" w:hAnsi="Times New Roman" w:cs="Times New Roman"/>
          <w:b/>
          <w:bCs/>
          <w:sz w:val="28"/>
          <w:szCs w:val="28"/>
          <w:lang w:eastAsia="ru-RU"/>
        </w:rPr>
      </w:pPr>
    </w:p>
    <w:p w:rsidR="008D3D72" w:rsidRDefault="00BD1420" w:rsidP="008D3D72">
      <w:pPr>
        <w:spacing w:after="0" w:line="240" w:lineRule="auto"/>
        <w:ind w:left="708"/>
        <w:jc w:val="center"/>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bCs/>
          <w:sz w:val="28"/>
          <w:szCs w:val="28"/>
          <w:lang w:eastAsia="ru-RU"/>
        </w:rPr>
        <w:t>Раздел 1. Сведения о доходах</w:t>
      </w:r>
      <w:r w:rsidRPr="00BD1420">
        <w:rPr>
          <w:rFonts w:ascii="Times New Roman" w:eastAsia="Times New Roman" w:hAnsi="Times New Roman" w:cs="Times New Roman"/>
          <w:sz w:val="28"/>
          <w:szCs w:val="28"/>
          <w:lang w:eastAsia="ru-RU"/>
        </w:rPr>
        <w:br/>
      </w:r>
    </w:p>
    <w:p w:rsidR="00BD1420" w:rsidRPr="00BD1420" w:rsidRDefault="00BD1420" w:rsidP="008D3D72">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со статьей 41 части 1 Налогового кодекса Российской Федерации доходом признается экономическая выгода в денежной или натуральной форме (оплата (полностью или частично) за налогоплательщика организациями или индивидуальными предпринимателями товаров (работ, услуг) или имущественных прав, в том числе коммунальных услуг, питания, отдыха, обучения в интересах налогоплательщика: полученные налогоплательщиком товары, выполненные в интересах налогоплательщика работы, оказанные в интересах налогоплательщика услуги на безвозмездной основе или с частичной оплатой: оплата труда в натуральной форме), учитываемая в случае возможности ее оценки и в той мере, в которой такую выгоду можно оценить, и определяемая в соответствии с главами «Налог на доходы физических лиц», «Налог на прибыль организаций» Налогового кодекса Российской Федерации. Согласно пункта 9 части 1 статьи 15 Федерального закона № 79-ФЗ «О государственной гражданской службе Российской Федерации» гражданский служащий подает сведения о доходах, полученных от источников в Российской Федерации или от источников за пределами Российской Федерации, подлежащих налогообложению.</w:t>
      </w:r>
    </w:p>
    <w:p w:rsidR="001F73F0"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соответствии с частью 1 статьи 210 части 2 Налогового кодекса Российской Федерации при определении налоговой базы учитываются все доходы налогоплательщика, полученные им как в денежной, так и в натуральной формах, или право на распоряжение, которыми у него возникло, а также доходы в виде материальной выгоды, определяемой в соответствии со статьей 212 настоящего Кодекса. Открытый перечень доходов от источников в Российской Федерации и от источников за пределами Российской Федерации, подлежащих налогообложению, установлен статьей 208 части 2 Налогового кодекса Российской Федерации. </w:t>
      </w:r>
    </w:p>
    <w:p w:rsidR="001F73F0"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1 «Доход по основному месту работы» указывается сумма, согласно справке с места работы по форме 2-НДФЛ. В случае изменения основного места работы в течение отчётного периода, в указанном пункте необходимо указывать сведения о полученных доходах с разбивкой по основным местам работы с указанием периодов работы в этих организациях, на основании представленных работодателями справок по форме 2-НДФЛ.</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2 «Доход от педагогической деятельности» указывается общая сумма дохода, полученная со всех мест преподавания по справке 2- НДФЛ (аналогично указывается доход, полученный гражданским служащим от научной</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деятельности).</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Пункт 4 «Доход от иной творческой деятельности» включает доходы, полученные гражданским служащим в разных сферах творческой </w:t>
      </w:r>
      <w:r w:rsidRPr="00BD1420">
        <w:rPr>
          <w:rFonts w:ascii="Times New Roman" w:eastAsia="Times New Roman" w:hAnsi="Times New Roman" w:cs="Times New Roman"/>
          <w:sz w:val="28"/>
          <w:szCs w:val="28"/>
          <w:lang w:eastAsia="ru-RU"/>
        </w:rPr>
        <w:lastRenderedPageBreak/>
        <w:t>деятельности (технической, художественной, публицистической и т.д.). Пункт 5 «Доход от вкладов в банках и иных кредитных организациях». Банковский вклад - денежные средства в валюте Российской Федерации или иностранной валюте, размещаемые физическими лицами в целях хранения и получения дохода. Доход по вкладу выплачивается в денежной форме в виде процентов. Величина дохода по банковскому вкладу определяется исходя из процентной ставки по вкладу, определенной в «договоре вклада». Величина дохода по вкладу подтверждается документом, выданным соответствующим банком. Под «иной кредитной организацией» понимается юридическое лицо, которое для извлечения прибыли как основной цели своей деятельности на основании специального разрешения (лицензии) Центрального банка Российской Федерации (Банка России) имеет право осуществлять банковские операции, предусмотренные Федеральным законом «О банках и банковской деятельности». Величина дохода по вкладу подтверждается документом, выданным соответствующей кредитной организацией.</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Пункт 6 «Доход от ценных бумаг и долей участия в коммерческих организациях». Согласно статьи 143 Гражданского кодекса Российской Федерации к ценным бумагам относятся: облигация, вексель, депозитный и сберегательный сертификаты, акция, приватизационные ценные бумаги и другие документы, которые законами о ценных бумагах или в установленном ими порядке отнесены к числу ценных бумаг. </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bCs/>
          <w:sz w:val="28"/>
          <w:szCs w:val="28"/>
          <w:lang w:eastAsia="ru-RU"/>
        </w:rPr>
        <w:t>Следует обратить особое внимание</w:t>
      </w:r>
      <w:r w:rsidRPr="00BD1420">
        <w:rPr>
          <w:rFonts w:ascii="Times New Roman" w:eastAsia="Times New Roman" w:hAnsi="Times New Roman" w:cs="Times New Roman"/>
          <w:sz w:val="28"/>
          <w:szCs w:val="28"/>
          <w:lang w:eastAsia="ru-RU"/>
        </w:rPr>
        <w:t>, что согласно п.4 ч.1 ст.17 Федерального закона от 27 июля 2004 года № 79-ФЗ «О государственной гражданской службе Российской Федерации» в связи с прохождением гражданской службы, гражданскому служащему запрещается приобретать в случаях, установленных федеральным законом, ценные бумаги, по которым может быть получен доход.</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Частью 6 статьи 11 Федерального закона от 25 декабря 2008 года № 273-ФЗ «О противодействии коррупции» установлена обязанность гражданского служащего в целях предотвращения конфликта интересов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законодательством Российской Федерации. Под «долей участия» в акционерных обществах понимается владение акциями коммерческой организации, дающих право на получение дивиденда (дохода), при условии, что владение акциями не приведет к конфликту интересов. Доходность ценных бумаг - отношение годового дохода по ценной бумаге к ее рыночной цене; норма прибыли, получаемая владельцем ценной бумаги. До определения порядка передачи ценных бумаг в доверительное управление, в соответствии с Протоколом совещания у заместителя Министра здравоохранения и социального развития от 20.12.2011 №4/17/74 гражданский служащий может владеть ценными бумагами, акциями (долями, паями в уставных (складочных) капиталах организаций), если это не приводит к конфликту интересов.</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 xml:space="preserve">При принятии комиссией по соблюдению требований к служебному поведению </w:t>
      </w:r>
      <w:r w:rsidRPr="00BD1420">
        <w:rPr>
          <w:rFonts w:ascii="Times New Roman" w:eastAsia="Times New Roman" w:hAnsi="Times New Roman" w:cs="Times New Roman"/>
          <w:sz w:val="28"/>
          <w:szCs w:val="28"/>
          <w:lang w:eastAsia="ru-RU"/>
        </w:rPr>
        <w:lastRenderedPageBreak/>
        <w:t>федеральных государственных служащих и урегулированию конфликта интересов, руководителем государственного органа решения о необходимости передачи государственным служащим ценных бумаг, акций (долей участия, паев в уставных (складочных) капиталах организаций) в доверительное управление, передача указанных ценных бумаг производится в соответствии с Гражданским кодексом Российской Федерации на основании договора доверительного управления имуществом (пункт 1 статьи 1012 Гражданского кодекса Российской Федерации).</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В пункте 7 «Иные доходы (указать вид дохода)». Данная позиция включает в себя все виды доходов, которые не были отражены выше, в том числе:</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денежные средства, полученные от страховой компании на ремонт автотранспортного</w:t>
      </w:r>
      <w:r w:rsidR="00D74C6F">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средства;</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материнский капитал по факту перечисления денежных средств на счет гражданского служащего (его супруги);</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социальные выплаты в денежной форме (замена скидок по оплате жилого помещения, коммунальных услуг и услуг связи), представляемые отдельным категориям граждан;</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денежные средства, выплаченные (перечисленные на счет) взамен выдачи полагающегося натурального довольствия;</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стипендии учащихся студентов, аспирантов и т.д.</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сведения о доходах по долгосрочным вкладам, с условием начисления процентов в конце срока вклада, а также с условием досрочного расторжения вклада с иным процентным накоплением вносятся в Справку по фактическому поступлению их в отчетном периоде (Протокол совещания у заместителя Министра здравоохранения и социального развития от 18.03.2011 №17-1/460).</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Обращаем внимание, что соответствии с пунктом 36 статьи 217 Налогового кодекса Российской Федерации единовременная субсидия, предоставленная на приобретение жилого помещения гражданскому служащему на основании постановления Правительства Российской Федерации от 27 января 2009 года № 63, является доходом, и следовательно, размер единовременной субсидии указывается в пункте 7 раздела 1 Справки. </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Внесение соответствующих сведений в Справку производится в тот отчетный период, в котором денежные средства перечислены со счета № 40302 на счет продавца (физического лица (юридического лица, индивидуального предпринимателя), осуществляющего отчуждение жилого помещения и доходы от сдачи в аренду недвижимого имущества и транспортных средств;</w:t>
      </w:r>
    </w:p>
    <w:p w:rsidR="00BD1420" w:rsidRPr="00BD1420"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8 «Итого доход за отчетный период» указывается суммарная величина дохода. Доход, полученный в иностранной валюте, указывается в рублях по курсу Банка России на дату получения дохода.</w:t>
      </w:r>
    </w:p>
    <w:p w:rsidR="008D3D72" w:rsidRDefault="00BD1420" w:rsidP="008D3D72">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2. Сведения об имуществе</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данном разделе указывается только имущество, находящееся в собственности и являющееся объектом налогообложения.</w:t>
      </w:r>
    </w:p>
    <w:p w:rsidR="00BA515C" w:rsidRPr="00B249B1" w:rsidRDefault="00BD1420" w:rsidP="00B249B1">
      <w:pPr>
        <w:spacing w:after="0" w:line="240" w:lineRule="auto"/>
        <w:jc w:val="center"/>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lastRenderedPageBreak/>
        <w:t>2.1. Недвижимое имущество</w:t>
      </w:r>
    </w:p>
    <w:p w:rsidR="00BA515C"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sz w:val="28"/>
          <w:szCs w:val="28"/>
          <w:lang w:eastAsia="ru-RU"/>
        </w:rPr>
        <w:t>Согласно статье 130 Гражданского кодекса Российской Федерации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r w:rsidRPr="00BD1420">
        <w:rPr>
          <w:rFonts w:ascii="Times New Roman" w:eastAsia="Times New Roman" w:hAnsi="Times New Roman" w:cs="Times New Roman"/>
          <w:sz w:val="28"/>
          <w:szCs w:val="28"/>
          <w:lang w:eastAsia="ru-RU"/>
        </w:rPr>
        <w:br/>
      </w:r>
      <w:r w:rsidRPr="00BD1420">
        <w:rPr>
          <w:rFonts w:ascii="Times New Roman" w:eastAsia="Times New Roman" w:hAnsi="Times New Roman" w:cs="Times New Roman"/>
          <w:i/>
          <w:iCs/>
          <w:sz w:val="28"/>
          <w:szCs w:val="28"/>
          <w:lang w:eastAsia="ru-RU"/>
        </w:rPr>
        <w:t>Графа 2 «Вид и наименование имущества»</w:t>
      </w:r>
    </w:p>
    <w:p w:rsidR="00BA515C"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пункте 1 «Земельные участки» указывается вид земельного участка. Согласно статье 11.1 Земельного кодекса Российской Федерации земельным участком является часть земной поверхности, границы которой определены в соответствии с федеральными законами. К основным видам использования земельных участков относятся: </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земельный участок под индивидуальное жилищное строительство. Объектами индивидуального жилищного строительства являются дома, предназначенные для индивидуального проживания гражданина (нескольких граждан, семьи), и объекты малоэтажного строительства с количеством этажей не более трех.</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земельный участок под многоквартирным домом и иными входящими в состав такого дома объектами недвижимого имущества. Согласно части 1 статьи 16 Федерального закона от 29 декабря 2004 года № 189-ФЗ «О введении в действие Жилищного кодекса Российской Федерации» земельный участок, на котором расположены многоквартирный дом и иные входящие в состав такого дома объекты недвижимого имущества, является общей долевой собственностью собственников помещений в многоквартирном доме. Порядок и условия предоставления такого земельного участка в качестве общего имущества в общую долевую собственность домовладельцев установлен статьей 16 вышеназванного Федерального закона. Сведения об имеющейся доле в праве общей собственности на земельный участок под многоквартирным домом и иными входящими в состав такого дома объектами недвижимого имущества следует получить в территориальном органе Федеральной службы государственной регистрации, кадастра и картографии, в котором производилась государственная регистрация права собственности на жилое помещение в этом многоквартирном доме.</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земельный участок для ведения личного подсобного хозяйства. Личное подсобное хозяйство - форма непредпринимательской деятельности по производству и переработке сельскохозяйственной продукции. Личное подсобное хозяйство ведется гражданином - одним или совместно с членами его семьи, в целях удовлетворения личных потребностей на земельном участке, предоставленном или приобретенном для ведения личного подсобного хозяйства (статья 2 Федерального закона от 7 июля 2003 г. № 112-ФЗ «О личном подсобном хозяйстве»). Для ведения личного подсобного хозяйства могут использоваться: земельный участок в границах населенного пункта - приусадебный земельный участок и земельный участок за </w:t>
      </w:r>
      <w:r w:rsidRPr="00BD1420">
        <w:rPr>
          <w:rFonts w:ascii="Times New Roman" w:eastAsia="Times New Roman" w:hAnsi="Times New Roman" w:cs="Times New Roman"/>
          <w:sz w:val="28"/>
          <w:szCs w:val="28"/>
          <w:lang w:eastAsia="ru-RU"/>
        </w:rPr>
        <w:lastRenderedPageBreak/>
        <w:t xml:space="preserve">пределами границ населенного пункта - полевой земельный участок. Приусадебный земельный участок используется как для производства сельскохозяйственной продукции, так и для возведения жилого дома, производственных, бытовых и иных зданий, строений, сооружений, а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
    <w:p w:rsidR="00BA515C" w:rsidRPr="00B249B1" w:rsidRDefault="00BD1420" w:rsidP="00BA515C">
      <w:pPr>
        <w:spacing w:after="0" w:line="240" w:lineRule="auto"/>
        <w:ind w:firstLine="708"/>
        <w:jc w:val="both"/>
        <w:rPr>
          <w:rFonts w:ascii="Times New Roman" w:eastAsia="Times New Roman" w:hAnsi="Times New Roman" w:cs="Times New Roman"/>
          <w:b/>
          <w:i/>
          <w:iCs/>
          <w:sz w:val="28"/>
          <w:szCs w:val="28"/>
          <w:lang w:eastAsia="ru-RU"/>
        </w:rPr>
      </w:pPr>
      <w:r w:rsidRPr="00BD1420">
        <w:rPr>
          <w:rFonts w:ascii="Times New Roman" w:eastAsia="Times New Roman" w:hAnsi="Times New Roman" w:cs="Times New Roman"/>
          <w:sz w:val="28"/>
          <w:szCs w:val="28"/>
          <w:lang w:eastAsia="ru-RU"/>
        </w:rPr>
        <w:t xml:space="preserve">Вид земельного участка указывается в соответствии с наименованием товарищества (например: садовый земельный участок в садоводческом товариществе «Русь»); дачный земельный участок в дачном некоммерческом товариществе «Исток») - земельный участок под индивидуальное гаражное строительство. Гаражи - здания, предназначенные для хранения, паркирования, технического обслуживания автомобилей. </w:t>
      </w:r>
      <w:r w:rsidRPr="00BD1420">
        <w:rPr>
          <w:rFonts w:ascii="Times New Roman" w:eastAsia="Times New Roman" w:hAnsi="Times New Roman" w:cs="Times New Roman"/>
          <w:b/>
          <w:i/>
          <w:iCs/>
          <w:sz w:val="28"/>
          <w:szCs w:val="28"/>
          <w:lang w:eastAsia="ru-RU"/>
        </w:rPr>
        <w:t>Пункт 2 «Жилые дома».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(п. 2 ст. 16 Жилищного кодекса Российской Федерации). Жилые дома функционально предназначены для постоянного проживания. Именно пригодность к проживанию в течение всех сезонов, а не только в летнее время отличает жилое помещение от дачного, предназначенного для отдыха, временного пребывания. Общая площадь жилого дома указывается в Справке на основании данных, имеющихся в свидетельстве о государственной регистрации права собственности на жилой дом. </w:t>
      </w:r>
    </w:p>
    <w:p w:rsidR="00AE09F7" w:rsidRPr="00B249B1" w:rsidRDefault="00BD1420" w:rsidP="00BA515C">
      <w:pPr>
        <w:spacing w:after="0" w:line="240" w:lineRule="auto"/>
        <w:ind w:firstLine="708"/>
        <w:jc w:val="both"/>
        <w:rPr>
          <w:rFonts w:ascii="Times New Roman" w:eastAsia="Times New Roman" w:hAnsi="Times New Roman" w:cs="Times New Roman"/>
          <w:b/>
          <w:i/>
          <w:iCs/>
          <w:sz w:val="28"/>
          <w:szCs w:val="28"/>
          <w:lang w:eastAsia="ru-RU"/>
        </w:rPr>
      </w:pPr>
      <w:r w:rsidRPr="00BD1420">
        <w:rPr>
          <w:rFonts w:ascii="Times New Roman" w:eastAsia="Times New Roman" w:hAnsi="Times New Roman" w:cs="Times New Roman"/>
          <w:b/>
          <w:i/>
          <w:iCs/>
          <w:sz w:val="28"/>
          <w:szCs w:val="28"/>
          <w:lang w:eastAsia="ru-RU"/>
        </w:rPr>
        <w:t>Пункт 3 «Квартира».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Квартирой признается структурно обособленное помещение в многоквартирном доме, обеспечивающее возможность прямого доступа к </w:t>
      </w:r>
      <w:r w:rsidRPr="00BD1420">
        <w:rPr>
          <w:rFonts w:ascii="Times New Roman" w:eastAsia="Times New Roman" w:hAnsi="Times New Roman" w:cs="Times New Roman"/>
          <w:sz w:val="28"/>
          <w:szCs w:val="28"/>
          <w:lang w:eastAsia="ru-RU"/>
        </w:rPr>
        <w:lastRenderedPageBreak/>
        <w:t>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(п.3. ст.16 Жилищного кодекса Российской Федерации). Общая площадь квартиры указывается в Справке на основании данных, имеющихся в свидетельстве о государственной регистрации права собственности на квартиру.</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 Протоколом от 20.12.2011 №4/17/74 сведения об объекте недвижимого имущества, находящемся в долевой собственности гражданского служащего (например, ½ доля квартиры) и члена его семьи (например, ½ доля квартиры), отражаются в подразделе 2.1 «Недвижимое имущество» Справки (с указанием доли) государственного служащего и члена его семьи. При этом сведения о том, что гражданский служащий пользуется долей (например, ½) объекта недвижимого имущества, не принадлежащей ему на праве собственности, в подраздел 5.1. «Объекты недвижимого имущества, находящихся в пользовании» не вносятся.</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4 «Дачи».</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Понятие «дача» не относится к числу правовых категорий. Оно имеет собирательное значение и обозначает загородный дом для летнего проживания и отдыха (Толковый словарь русского языка под ред. Д.Н. Ушакова). Данный термин применяется к жилому строению (дому), построенном как на садовом, так и на дачном земельном участке. В соответствии со статьей 19 Федерального закона от 15 апреля 1998 года № 66-ФЗ «О садоводческих, огороднических и дачных некоммерческих объединениях граждан» члены садоводческого или дачного некоммерческого объединения имеют право осуществлять в соответствии с установленными требованиями строительство и перестройку жилого строения, хозяйственных строений и сооружений - на садовом земельном участке; жилого строения или жилого дома, хозяйственных строений и сооружений - на дачном земельном участке. Местом нахождения дачи является место нахождения дачного или садового земельного участка.</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5 «Гаражи».</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Гараж - помещение для стоянки и ремонта автомобилей может находиться как в индивидуальной, так и в общей собственности. Право собственности на гараж подтверждается свидетельством о государственной регистрации права собственности (иным правоустанавливающим документам). </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6 «Иное недвижимое имущество».</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К иному недвижимому имуществу относятся жилые помещения в виде комнат, а также здания, сооружения, объекты незавершенного строительства. В соответствии с Жилищным кодексом Российской Федерации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 В случае если у гражданского служащего в собственности находится комната, все сведения </w:t>
      </w:r>
      <w:r w:rsidRPr="00BD1420">
        <w:rPr>
          <w:rFonts w:ascii="Times New Roman" w:eastAsia="Times New Roman" w:hAnsi="Times New Roman" w:cs="Times New Roman"/>
          <w:sz w:val="28"/>
          <w:szCs w:val="28"/>
          <w:lang w:eastAsia="ru-RU"/>
        </w:rPr>
        <w:lastRenderedPageBreak/>
        <w:t xml:space="preserve">об этом виде имущества необходимо указывать в соответствии со свидетельством о регистрации права собственности. В соответствии со статьей 219 Гражданского кодекса Российской Федерации 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 Единого законодательного понятия «объект незавершенного строительства» на сегодняшний день не существует. Объект незавершенного строительства возникает в момент приобретения им свойств недвижимого имущества: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1. объект должен быть прочно связан с землей; 2. его перемещение невозможно без несоразмерного ущерба его назначению (ст. 130 Гражданского кодекса Российской Федерации). К объектам, находящимся в незавершенном строительстве, относятся объекты: - строительство которых продолжается; </w:t>
      </w:r>
      <w:r w:rsidRPr="00BD1420">
        <w:rPr>
          <w:rFonts w:ascii="Times New Roman" w:eastAsia="Times New Roman" w:hAnsi="Times New Roman" w:cs="Times New Roman"/>
          <w:sz w:val="28"/>
          <w:szCs w:val="28"/>
          <w:lang w:eastAsia="ru-RU"/>
        </w:rPr>
        <w:br/>
        <w:t>- строительство которых приостановлено, законсервировано или окончательно прекращено, но не списано в установленном порядке; находящиеся в эксплуатации, по которым акты приемки еще не оформлены в установленном порядке.</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Право собственности на объект незавершенного строительства подтверждается свидетельством о государственной регистрации права собственности (иным правоустанавливающим документам).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указывается вид собственности (индивидуальная, общая). В данном случае вид отношений собственности зависит от субъекта собственности. Имущество, находящееся в собственности одного лица – это индивидуальная собственность, двух или нескольких лиц - общая собственность.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 Для совместной собственности указываются иные лица (Ф.И.О. или наименование), в собственности которых находится имущество (например, земельный участок может находиться в совместной собственности супругов). Для долевой собственности указывается доля гражданского служащего, например, в свидетельстве о регистрации доли в праве собственности на квартиру указывается размер этой доли).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графах 4,5 указываются место нахождения (адрес) и площадь (кв. м) недвижимого имущества. Данная информация указывается согласно свидетельству о регистрации собственности (иным правоустанавливающим документам).</w:t>
      </w:r>
    </w:p>
    <w:p w:rsidR="00AE09F7" w:rsidRPr="00B249B1" w:rsidRDefault="00BD1420" w:rsidP="00BA515C">
      <w:pPr>
        <w:spacing w:after="0" w:line="240" w:lineRule="auto"/>
        <w:ind w:firstLine="708"/>
        <w:jc w:val="both"/>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t>2.2. Транспортные средства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Графа 2 «Вид и марка транспортного средства» заполняется согласно свидетельству о регистрации транспортного средства.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«Вид собственности»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w:t>
      </w:r>
      <w:r w:rsidRPr="00BD1420">
        <w:rPr>
          <w:rFonts w:ascii="Times New Roman" w:eastAsia="Times New Roman" w:hAnsi="Times New Roman" w:cs="Times New Roman"/>
          <w:sz w:val="28"/>
          <w:szCs w:val="28"/>
          <w:lang w:eastAsia="ru-RU"/>
        </w:rPr>
        <w:lastRenderedPageBreak/>
        <w:t xml:space="preserve">имущество; для долевой собственности указывается доля гражданского служащего, который представляет сведения.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4 «Место регистрации» указывается тот уполномоченный орган государственной власти, в котором осуществлялась регистрация транспортного средства (например: ГИБДД 7 отд. МОТОТРЭР ЮЗАО Москвы).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 Протоколом совещания у заместителя Министра здравоохранения и социального развития от 20.12.2011 № 4/17/74 сведения о транспортных средствах, находящихся в угоне, либо снятых с регистрационного учета, подлежат отражению так же в подразделе 2.2 «Транспортные средства» Справки.</w:t>
      </w:r>
    </w:p>
    <w:p w:rsidR="00AE09F7" w:rsidRDefault="00AE09F7" w:rsidP="00D74C6F">
      <w:pPr>
        <w:spacing w:after="0" w:line="240" w:lineRule="auto"/>
        <w:jc w:val="both"/>
        <w:rPr>
          <w:rFonts w:ascii="Times New Roman" w:eastAsia="Times New Roman" w:hAnsi="Times New Roman" w:cs="Times New Roman"/>
          <w:b/>
          <w:bCs/>
          <w:sz w:val="28"/>
          <w:szCs w:val="28"/>
          <w:lang w:eastAsia="ru-RU"/>
        </w:rPr>
      </w:pPr>
    </w:p>
    <w:p w:rsidR="008D3D72" w:rsidRDefault="00BD1420" w:rsidP="00913F16">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3. Сведения о денежных средствах, находящихся на счетах в банках и иных кредитных организациях</w:t>
      </w:r>
    </w:p>
    <w:p w:rsidR="00BD1420" w:rsidRPr="00BD1420" w:rsidRDefault="00BD1420" w:rsidP="00AE09F7">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Согласно статьи 1 Федерального закона от 2 декабря 1990 № 395-1 «О банках и банковской деятельности» видами кредитных организаций являются банки и небанковские кредитные организации (НКО). Небанковская кредитная организация - кредитная организация, имеющая право осуществлять отдельные банковские операции, предусмотренные Федеральным законом «О банках и банковской деятельности». На балансах банков открываются различные виды счетов (депозитный, текущий, ссудный и др.). Основанием открытия банковского счета является договор. Стороной договора может выступать кредитная организация, Банк России, а также организации, которым федеральными законами предоставлено право проведения банковской операции по открытию и ведению банковских счетов. Вкладной (депозитный) счет предназначен для хранения временно свободных денежных средств. </w:t>
      </w:r>
    </w:p>
    <w:p w:rsidR="00BD1420" w:rsidRPr="00BD1420"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Такой счет открывается клиенту банка на основании заключенного договора банковского вклада. По договору банковского вклада (депозита) одна сторона (кредитная организация), принявшая поступившую 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этим договором. Сведения по банковским вкладам (депозитным счетам), в том числе наименование и место нахождения банка (филиала банка), номер счёта по вкладу все суммы денежных средств, зачисленных на счет и списанных со счета, остаток денежных средств на счете указываются в сберегательной книжке. Под текущим счетом физического лица понимается банковский счет, открываемый физическому лицу в банке на основании договора банковского счета, предусматривающего совершение расчетных операций, не связанных с открываемый в банке-кредиторе для перечисления кредитных средств и для последующего зачисления на него платежей по кредиту. Ссудный счет предусмотрен правилами бухучета и нужны для отражения на балансе банка операций по предоставлению заемщикам и возврату ими денежных средств (кредитов) в соответствии с заключенными кредитными договорами. Датой </w:t>
      </w:r>
      <w:r w:rsidRPr="00BD1420">
        <w:rPr>
          <w:rFonts w:ascii="Times New Roman" w:eastAsia="Times New Roman" w:hAnsi="Times New Roman" w:cs="Times New Roman"/>
          <w:sz w:val="28"/>
          <w:szCs w:val="28"/>
          <w:lang w:eastAsia="ru-RU"/>
        </w:rPr>
        <w:lastRenderedPageBreak/>
        <w:t>открытия счета является дата заключения договора.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 Отчётной датой считается последний день отчётного периода, то есть 31 декабря года, являющегося отчётным. Кроме того, в данном разделе отражается остаток на счете банковской карты по состоянию на отчетную дату, в том числе по кредитной банковской карте, и по банковской карте, открытой для перечисления заработной платы. Информация о состоянии счета клиента предоставляется банком.</w:t>
      </w:r>
    </w:p>
    <w:p w:rsidR="008D3D72" w:rsidRDefault="00BD1420" w:rsidP="00913F16">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4.Сведения о ценных бумагах</w:t>
      </w:r>
    </w:p>
    <w:p w:rsidR="00AE197F"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sz w:val="28"/>
          <w:szCs w:val="28"/>
          <w:lang w:eastAsia="ru-RU"/>
        </w:rPr>
        <w:br/>
      </w:r>
      <w:r w:rsidRPr="00BD1420">
        <w:rPr>
          <w:rFonts w:ascii="Times New Roman" w:eastAsia="Times New Roman" w:hAnsi="Times New Roman" w:cs="Times New Roman"/>
          <w:i/>
          <w:iCs/>
          <w:sz w:val="28"/>
          <w:szCs w:val="28"/>
          <w:lang w:eastAsia="ru-RU"/>
        </w:rPr>
        <w:t>4.1. Акции и иное участие в коммерческих организациях</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Акция -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BD1420" w:rsidRPr="00BD1420"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2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 Например, ОАО «Сбербанк России», ОАО «Газпром»; и т.д. </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Графа 4. Уставный капитал указывается согласно учредительным документам организации по состоянию на отчетную дату. Например, сумма уставного капитала ОАО «Газпром» отображена в Уставе Открытого Акционерного Общества «Газпром»; Сбербанк России – в Уставе Сбербанка России ОАО. Уставы коммерческих организаций размещаются на их официальных Интернет-сайтах. Для уставных капиталов, выраженных в иностранной валюте, уставный капитал указывается в рублях по курсу Банка России на отчетную дату.</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Графа 5. «Доля участия». Доля участия выражается в процентах от уставного капитала. Для акционерных обществ указываются также номинальная стоимость и количество акций. Доля участия вычисляется по формуле: номинальная стоимость 1 акции х количество акций х 100 % уставного капитала (руб.) </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6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w:t>
      </w:r>
    </w:p>
    <w:p w:rsidR="00AE197F"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 xml:space="preserve">4.2. Иные ценные бумаги </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Согласно статьи 143 Гражданского кодекса Российской Федерации к ценным бумагам относятся: государственная облигация, облигация, вексель, чек, депозитный и сберегательный сертификаты, банковская сберегательная книжка на предъявителя, коносамент, акция, приватизационные ценные </w:t>
      </w:r>
      <w:r w:rsidRPr="00BD1420">
        <w:rPr>
          <w:rFonts w:ascii="Times New Roman" w:eastAsia="Times New Roman" w:hAnsi="Times New Roman" w:cs="Times New Roman"/>
          <w:sz w:val="28"/>
          <w:szCs w:val="28"/>
          <w:lang w:eastAsia="ru-RU"/>
        </w:rPr>
        <w:lastRenderedPageBreak/>
        <w:t>бумаги и другие документы, которые законами о ценных бумагах или в установленном ими порядке отнесены к числу ценных бумаг.</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2 указываются все ценные бумаги по видам (облигации, векселя, сберегательные сертификаты и другие), за исключением акций, указанных в подразделе «Акции и иное участие в коммерческих организациях». Информация необходимая для заполнения граф 3,4,5 указана на самой ценной бумаге (вексель, облигация и др.). </w:t>
      </w:r>
    </w:p>
    <w:p w:rsidR="00BD1420" w:rsidRPr="00BD1420"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6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Суммарная декларированная стоимость ценных бумаг, включая доли участия в коммерческих организациях (руб.), определяется как совокупная стоимость акций и иного участия в коммерческих организациях (подраздел 4.1. настоящего раздела) и иных ценных бумаг (подраздел 4.2. настоящего раздела).</w:t>
      </w:r>
    </w:p>
    <w:p w:rsidR="008D3D72" w:rsidRDefault="00BD1420" w:rsidP="00AE197F">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5. Сведения об обязательствах имущественного характера.</w:t>
      </w:r>
    </w:p>
    <w:p w:rsidR="00F40DE4" w:rsidRDefault="00BD1420" w:rsidP="00AE197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со статьей 307 Гражданского кодекса Российской Федерации под обязательствами имущественного характера понимаются правоотношения, в силу которых одно лицо (должник) обязано совершить в пользу другого лица (кредитора) определенное действие – передать имущество, выполнить работу, оказать услугу, уплатить деньги и т.п., либо воздержаться от определенного действия, а кредитор вправе требовать от должника исполнения его обязанностей.</w:t>
      </w:r>
    </w:p>
    <w:p w:rsidR="00BD1420" w:rsidRPr="00BD1420" w:rsidRDefault="00BD1420" w:rsidP="00AE197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sz w:val="28"/>
          <w:szCs w:val="28"/>
          <w:u w:val="single"/>
          <w:lang w:eastAsia="ru-RU"/>
        </w:rPr>
        <w:t>5.1. Объекты недвижимого имущества, находящиеся в пользовании</w:t>
      </w:r>
      <w:r w:rsidRPr="00BD1420">
        <w:rPr>
          <w:rFonts w:ascii="Times New Roman" w:eastAsia="Times New Roman" w:hAnsi="Times New Roman" w:cs="Times New Roman"/>
          <w:sz w:val="28"/>
          <w:szCs w:val="28"/>
          <w:lang w:eastAsia="ru-RU"/>
        </w:rPr>
        <w:br/>
        <w:t xml:space="preserve">Сведения, представляемые в данном подразделе, касаются объектов недвижимого имущества, находящегося в пользовании. </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соответствии с пунктом 2 статьи 677, пункта 2 статьи 683 Гражданского кодекса Российской Федерации, части 2 статьи 69, части 5 статьи 100 Жилищного кодекса Российской Федерации члены семьи нанимателя имеют равные с ним права по пользованию жилым помещением. Поэтому в случае, когда гражданский служащий является членом семьи нанимателя по договору найма жилого помещения, в Справке он обязан указывать сведения о пользовании этим жилым помещением. Гражданский служащий, проживающий в жилом помещении, собственником которого является ее (его) супруг (супруга) или иные близкие родственники, должен указывать в Справке это жилое помещение в объектах недвижимого имущества, находящихся в пользовании, при этом вид пользования необходимо указывать безвозмездное пользование, сроки пользования в данном случае не указываются, основанием пользования является фактическое предоставление без указания реквизитов договора или акта. В соответствии с частью 2 статьи 31 Жилищного кодекса Российской Федерации члены семьи собственника жилого помещения имеют право пользования данным жилым помещением наравне с его собственником, если иное не установлено </w:t>
      </w:r>
      <w:r w:rsidRPr="00BD1420">
        <w:rPr>
          <w:rFonts w:ascii="Times New Roman" w:eastAsia="Times New Roman" w:hAnsi="Times New Roman" w:cs="Times New Roman"/>
          <w:sz w:val="28"/>
          <w:szCs w:val="28"/>
          <w:lang w:eastAsia="ru-RU"/>
        </w:rPr>
        <w:lastRenderedPageBreak/>
        <w:t xml:space="preserve">соглашением между собственником и членами его семьи. Необходимо учитывать, что объекты недвижимого имущества могут находиться в пользовании на разных основаниях. Например, земельный участок может предоставляться в пользование на основании договоров аренды, субаренды, безвозмездного срочного пользования, в пожизненное владение. Квартира – на основании договора найма жилого помещения, договора поднайма жилого помещения, договора социального найма, договора найма специализированного жилого помещения, договора безвозмездного пользования жилым помещением. </w:t>
      </w:r>
    </w:p>
    <w:p w:rsidR="00913F16"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2 – указывается вид недвижимости (земельный участок, жилой дом, квартира, дача и др.) находящиеся в пользовании по состоянию на отчетную дату;</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 вид и сроки пользования (аренда, субаренда, наем жилого помещения, наем специализированного жилого помещения, социальный наем жилого помещения, безвозмездное пользование и др.); </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4 – указывается основание пользования (договор, фактическое предоставление и др.), а так же реквизиты (дата, номер) соответствующего договора или акта. </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Пруд, обводненный карьер, расположенные в границах земельного участка, принадлежащего на праве собственности гражданскому служащему (членам его семьи), не указываются как обособленное имущество, поскольку не допускается отчуждение таких водных объектов без отчуждения земельных участков, в границах которых они расположены.</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случае если водный объект предоставлен гражданскому служащему (членам его семьи) в пользование на основании договора водопользования или решения о предоставлении водных объектов в пользование, соответствующие сведения отражаются в подразделе 5.1 «Объекты недвижимого имущества, находящиеся в пользовании» Справки. (Протокол совещания у заместителя Министра здравоохранения и социального развития от 20.12.2011 № 4/17/74).</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Раздел 5.1 «Объекты недвижимого имущества, находящиеся в пользовании» заполняется в обязательном порядке теми гражданскими служащими, которые по месту прохождения гражданской службы (например, в соответствующем субъекте Российской Федерации) имеют временную регистрацию (Протокол совещания у заместителя Министра здравоохранения и социального развития от 20.12.2011 № 4/17/74).</w:t>
      </w:r>
    </w:p>
    <w:p w:rsidR="00F40DE4" w:rsidRDefault="00BD1420" w:rsidP="00D74C6F">
      <w:pPr>
        <w:spacing w:after="0" w:line="240" w:lineRule="auto"/>
        <w:jc w:val="both"/>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Подлежат указанию:</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w:t>
      </w:r>
      <w:r w:rsidR="00913F16">
        <w:rPr>
          <w:rFonts w:ascii="Times New Roman" w:eastAsia="Times New Roman" w:hAnsi="Times New Roman" w:cs="Times New Roman"/>
          <w:sz w:val="28"/>
          <w:szCs w:val="28"/>
          <w:lang w:eastAsia="ru-RU"/>
        </w:rPr>
        <w:tab/>
      </w:r>
      <w:r w:rsidRPr="00BD1420">
        <w:rPr>
          <w:rFonts w:ascii="Times New Roman" w:eastAsia="Times New Roman" w:hAnsi="Times New Roman" w:cs="Times New Roman"/>
          <w:sz w:val="28"/>
          <w:szCs w:val="28"/>
          <w:lang w:eastAsia="ru-RU"/>
        </w:rPr>
        <w:t>о жилой площади (дом, дача, квартира и т.д.), не принадлежащей гражданскому служащему или членам его семьи на праве собственности или на праве нанимателя, где он (они) фактически проживает по состоянию на отчетную дату без заключения договора аренды, безвозмездного пользования или социального найма;</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о квартирах, занимаемых по договорам социального найма.</w:t>
      </w:r>
    </w:p>
    <w:p w:rsidR="00F40DE4" w:rsidRPr="00913F16" w:rsidRDefault="00BD1420" w:rsidP="00D74C6F">
      <w:pPr>
        <w:spacing w:after="0" w:line="240" w:lineRule="auto"/>
        <w:jc w:val="both"/>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t xml:space="preserve">5.2. Прочие обязательства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lastRenderedPageBreak/>
        <w:t>В данном разделе указываются имеющиеся на отчетную дату срочные обязательства финансового характера на сумму, превышающую 100-кратный минимальный размер оплаты труда, установленный на отчетную дату (на 31.12.201</w:t>
      </w:r>
      <w:r w:rsidR="00647027">
        <w:rPr>
          <w:rFonts w:ascii="Times New Roman" w:eastAsia="Times New Roman" w:hAnsi="Times New Roman" w:cs="Times New Roman"/>
          <w:sz w:val="28"/>
          <w:szCs w:val="28"/>
          <w:lang w:eastAsia="ru-RU"/>
        </w:rPr>
        <w:t>2</w:t>
      </w:r>
      <w:r w:rsidRPr="00BD1420">
        <w:rPr>
          <w:rFonts w:ascii="Times New Roman" w:eastAsia="Times New Roman" w:hAnsi="Times New Roman" w:cs="Times New Roman"/>
          <w:sz w:val="28"/>
          <w:szCs w:val="28"/>
          <w:lang w:eastAsia="ru-RU"/>
        </w:rPr>
        <w:t xml:space="preserve"> - </w:t>
      </w:r>
      <w:r w:rsidR="00647027">
        <w:rPr>
          <w:rFonts w:ascii="Times New Roman" w:eastAsia="Times New Roman" w:hAnsi="Times New Roman" w:cs="Times New Roman"/>
          <w:sz w:val="28"/>
          <w:szCs w:val="28"/>
          <w:lang w:eastAsia="ru-RU"/>
        </w:rPr>
        <w:t>5205</w:t>
      </w:r>
      <w:r w:rsidRPr="00BD1420">
        <w:rPr>
          <w:rFonts w:ascii="Times New Roman" w:eastAsia="Times New Roman" w:hAnsi="Times New Roman" w:cs="Times New Roman"/>
          <w:sz w:val="28"/>
          <w:szCs w:val="28"/>
          <w:lang w:eastAsia="ru-RU"/>
        </w:rPr>
        <w:t xml:space="preserve"> руб.).</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Согласно статьи 307 Гражданского кодекса Российской Федерации в силу обязательства одно лицо (должник) обязано совершить в пользу другого лица (кредитора) определенное действие, как-то: передать имущество, выполнить работу, уплатить деньги и т.п., либо воздержаться от определенного действия, а кредитор имеет право требовать от должника исполнения его обязанности.</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2 – указывается существо обязательства (заем, кредит, исполнение вступившего в силу решения суда и др.).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указывается вторая сторона обязательства: кредитор или должник, его фамилия, имя и отчество (наименование юридического лица), адрес. Если гражданский служащий взял кредит в банке и является должником, то в графе указывается вторая сторона обязательства – кредитор согласно кредитному договору.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4 указываются основание возникновения обязательства (договор, исполнительный лист, передача денег или имущества и другие), а также реквизиты (дата, номер) соответствующего договора или акта.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5 указывается сумма основного обязательства (без суммы процентов) согласно условиям заключенного договора. Для обязательств, выраженных в иностранной валюте, сумма указывается в рублях по курсу Банка России на отчетную дату. </w:t>
      </w:r>
    </w:p>
    <w:p w:rsidR="00913F16"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6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 В данном разделе также отражается информация о кредитах по банковской пластиковой карте в случае, если они превышают 100-кратный минимальный размер оплаты труда.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Сведения о доходах, об имуществе и обязательствах имущественного характера предоставляются отдельно на супругу (супруга) и на каждого из несовершеннолетних детей гражданского служащего. </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Данные Справки заполняются и подписываются гражданским служащим, представляющим сведения.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случае если гражданский служащий обнаружил, что в представленных им сведениях о полученных им доходах, об имуществе, принадлежащим ему на праве собственности, и об их обязательствах имущественного характера, а также сведения о доходах супруги (супруга) и несовершеннолетних детей, об их имуществе принадлежащим ему на праве собственности, и об их обязательствах имущественного характера не отражена или не полностью отражена какая-либо информация или имеются ошибки, он вправе представить уточненные сведения в течение года после подачи сведений о доходах, об имуществе и обязательствах имущественного характера.</w:t>
      </w:r>
    </w:p>
    <w:p w:rsidR="00F40DE4" w:rsidRDefault="00F40DE4"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lastRenderedPageBreak/>
        <w:t xml:space="preserve"> </w:t>
      </w:r>
      <w:r w:rsidR="00BD1420" w:rsidRPr="00BD1420">
        <w:rPr>
          <w:rFonts w:ascii="Times New Roman" w:eastAsia="Times New Roman" w:hAnsi="Times New Roman" w:cs="Times New Roman"/>
          <w:sz w:val="28"/>
          <w:szCs w:val="28"/>
          <w:lang w:eastAsia="ru-RU"/>
        </w:rPr>
        <w:t>При представлении уточненных сведений гражданским служащим данный факт может быть рассмотрен на комиссии по соблюдению требований к служебному поведению федеральных государственных служащих и урегулированию конфликта интересов (Протокол совещания у заместителя Министра здравоохранения и социального развития от 20.12.2011 № 4/17/74).</w:t>
      </w:r>
    </w:p>
    <w:p w:rsidR="001F73F0" w:rsidRDefault="00BD1420" w:rsidP="00F40DE4">
      <w:pPr>
        <w:spacing w:after="0" w:line="240" w:lineRule="auto"/>
        <w:ind w:firstLine="708"/>
        <w:jc w:val="both"/>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sz w:val="28"/>
          <w:szCs w:val="28"/>
          <w:lang w:eastAsia="ru-RU"/>
        </w:rPr>
        <w:t xml:space="preserve">В соответствии с Протоколами совещаний у заместителя Министра здравоохранения и социального развития Российской Федерации от 18.03.2011 № 17-1/460 и от 20.12.2011№ 4/17/74 при заполнении справки </w:t>
      </w:r>
      <w:r w:rsidRPr="00BD1420">
        <w:rPr>
          <w:rFonts w:ascii="Times New Roman" w:eastAsia="Times New Roman" w:hAnsi="Times New Roman" w:cs="Times New Roman"/>
          <w:b/>
          <w:bCs/>
          <w:sz w:val="28"/>
          <w:szCs w:val="28"/>
          <w:lang w:eastAsia="ru-RU"/>
        </w:rPr>
        <w:t>особое внимание следует обратить на следующие вопросы:</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1. В случае если гражданский служащий не проживает совместно с супругой (супругом) и сведения о которой (котором) отсутствуют, и не имеет возможности представить точные сведения в связи с объективными причинами, то он предоставляет данные сведения на основе имеющейся у него информации. Данный факт подлежит рассмотрению на комиссии по соблюдению требований к служебному поведению федеральных государственных служащих и урегулированию конфликта интересов для выявления обстоятельств, по причине которых предоставить соответствующие сведения не представляется возможным.</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2. Если гражданский служащий является опекуном, пособие на ребенка вносится в справку о доходах, об имуществе и обязательствах имущественного характера ребенка.</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 При предоставлении сведений о доходах в Справке не отражаются следующие выплаты, полученные гражданским служащим (членами его семьи) в отчетный период:</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3.1. возмещение расходов, связанных со служебными командировками, включающих: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расходы по проезду к месту командирования и обратно к постоянному месту прохождения гражданской службы;</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расходы по проезду из одного населенного пункта в другой, если служащий командирован в несколько государственных органов (организаций), расположенных в разных населенных пунктах;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расходы по найму жилого помещения;</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дополнительные расходы, связанные с проживанием вне постоянного места жительства (суточные);</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иные расходы, связанные со служебной командировкой (при условии, что они произведены гражданским служащим с разрешения или ведома представителя нанимателя (уполномоченного им лица);</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3.2 компенсация расходов на оплату проезда и провоза багажа к месту использования отпуска и обратно, в том числе представляемая лицам, работающим и проживающим в районах Крайнего Севера и приравненных к ним местностях;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3.3 средства (бонусы) на накопительных дисконтных картах, предоставленные магазинами розничной торговли, обладателем которых является гражданский служащий (члены его семьи);</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lastRenderedPageBreak/>
        <w:t>3.4. счета,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w:t>
      </w:r>
    </w:p>
    <w:p w:rsidR="00BD1420" w:rsidRPr="00BD1420"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3.5. сведения о предоставленных налоговых вычетах по налогу на доходы физических лиц, так как в соответствии с пунктом 1 статьи 56 части 1 Налогового кодекса Российской Федерации налоговый вычет является льготой по налогам и сборам, и не относится к доходам.</w:t>
      </w:r>
    </w:p>
    <w:p w:rsidR="00BD1420" w:rsidRPr="008D3D72" w:rsidRDefault="00BD1420" w:rsidP="00D74C6F">
      <w:pPr>
        <w:jc w:val="both"/>
        <w:rPr>
          <w:sz w:val="28"/>
          <w:szCs w:val="28"/>
        </w:rPr>
      </w:pPr>
    </w:p>
    <w:sectPr w:rsidR="00BD1420" w:rsidRPr="008D3D72" w:rsidSect="00867095">
      <w:pgSz w:w="11906" w:h="16838"/>
      <w:pgMar w:top="1134" w:right="1134" w:bottom="113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420"/>
    <w:rsid w:val="000072DF"/>
    <w:rsid w:val="000D5089"/>
    <w:rsid w:val="001F73F0"/>
    <w:rsid w:val="002475B7"/>
    <w:rsid w:val="0027105D"/>
    <w:rsid w:val="00272A4E"/>
    <w:rsid w:val="003A2A26"/>
    <w:rsid w:val="00574DC3"/>
    <w:rsid w:val="00647027"/>
    <w:rsid w:val="007C177D"/>
    <w:rsid w:val="007F3794"/>
    <w:rsid w:val="00867095"/>
    <w:rsid w:val="008D3D72"/>
    <w:rsid w:val="00913F16"/>
    <w:rsid w:val="00AE09F7"/>
    <w:rsid w:val="00AE197F"/>
    <w:rsid w:val="00B249B1"/>
    <w:rsid w:val="00BA515C"/>
    <w:rsid w:val="00BD1420"/>
    <w:rsid w:val="00D74C6F"/>
    <w:rsid w:val="00F40D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A2A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D1420"/>
    <w:rPr>
      <w:color w:val="0000FF"/>
      <w:u w:val="single"/>
    </w:rPr>
  </w:style>
  <w:style w:type="paragraph" w:styleId="a4">
    <w:name w:val="List Paragraph"/>
    <w:basedOn w:val="a"/>
    <w:uiPriority w:val="34"/>
    <w:qFormat/>
    <w:rsid w:val="00AE09F7"/>
    <w:pPr>
      <w:ind w:left="720"/>
      <w:contextualSpacing/>
    </w:pPr>
  </w:style>
  <w:style w:type="character" w:customStyle="1" w:styleId="10">
    <w:name w:val="Заголовок 1 Знак"/>
    <w:basedOn w:val="a0"/>
    <w:link w:val="1"/>
    <w:uiPriority w:val="9"/>
    <w:rsid w:val="003A2A26"/>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A2A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D1420"/>
    <w:rPr>
      <w:color w:val="0000FF"/>
      <w:u w:val="single"/>
    </w:rPr>
  </w:style>
  <w:style w:type="paragraph" w:styleId="a4">
    <w:name w:val="List Paragraph"/>
    <w:basedOn w:val="a"/>
    <w:uiPriority w:val="34"/>
    <w:qFormat/>
    <w:rsid w:val="00AE09F7"/>
    <w:pPr>
      <w:ind w:left="720"/>
      <w:contextualSpacing/>
    </w:pPr>
  </w:style>
  <w:style w:type="character" w:customStyle="1" w:styleId="10">
    <w:name w:val="Заголовок 1 Знак"/>
    <w:basedOn w:val="a0"/>
    <w:link w:val="1"/>
    <w:uiPriority w:val="9"/>
    <w:rsid w:val="003A2A2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05706">
      <w:bodyDiv w:val="1"/>
      <w:marLeft w:val="0"/>
      <w:marRight w:val="0"/>
      <w:marTop w:val="0"/>
      <w:marBottom w:val="0"/>
      <w:divBdr>
        <w:top w:val="none" w:sz="0" w:space="0" w:color="auto"/>
        <w:left w:val="none" w:sz="0" w:space="0" w:color="auto"/>
        <w:bottom w:val="none" w:sz="0" w:space="0" w:color="auto"/>
        <w:right w:val="none" w:sz="0" w:space="0" w:color="auto"/>
      </w:divBdr>
      <w:divsChild>
        <w:div w:id="471825160">
          <w:marLeft w:val="0"/>
          <w:marRight w:val="0"/>
          <w:marTop w:val="0"/>
          <w:marBottom w:val="0"/>
          <w:divBdr>
            <w:top w:val="none" w:sz="0" w:space="0" w:color="auto"/>
            <w:left w:val="none" w:sz="0" w:space="0" w:color="auto"/>
            <w:bottom w:val="none" w:sz="0" w:space="0" w:color="auto"/>
            <w:right w:val="none" w:sz="0" w:space="0" w:color="auto"/>
          </w:divBdr>
        </w:div>
      </w:divsChild>
    </w:div>
    <w:div w:id="361790449">
      <w:bodyDiv w:val="1"/>
      <w:marLeft w:val="0"/>
      <w:marRight w:val="0"/>
      <w:marTop w:val="0"/>
      <w:marBottom w:val="0"/>
      <w:divBdr>
        <w:top w:val="none" w:sz="0" w:space="0" w:color="auto"/>
        <w:left w:val="none" w:sz="0" w:space="0" w:color="auto"/>
        <w:bottom w:val="none" w:sz="0" w:space="0" w:color="auto"/>
        <w:right w:val="none" w:sz="0" w:space="0" w:color="auto"/>
      </w:divBdr>
      <w:divsChild>
        <w:div w:id="1115100689">
          <w:marLeft w:val="0"/>
          <w:marRight w:val="0"/>
          <w:marTop w:val="0"/>
          <w:marBottom w:val="0"/>
          <w:divBdr>
            <w:top w:val="none" w:sz="0" w:space="0" w:color="auto"/>
            <w:left w:val="none" w:sz="0" w:space="0" w:color="auto"/>
            <w:bottom w:val="none" w:sz="0" w:space="0" w:color="auto"/>
            <w:right w:val="none" w:sz="0" w:space="0" w:color="auto"/>
          </w:divBdr>
        </w:div>
      </w:divsChild>
    </w:div>
    <w:div w:id="1006439105">
      <w:bodyDiv w:val="1"/>
      <w:marLeft w:val="0"/>
      <w:marRight w:val="0"/>
      <w:marTop w:val="0"/>
      <w:marBottom w:val="0"/>
      <w:divBdr>
        <w:top w:val="none" w:sz="0" w:space="0" w:color="auto"/>
        <w:left w:val="none" w:sz="0" w:space="0" w:color="auto"/>
        <w:bottom w:val="none" w:sz="0" w:space="0" w:color="auto"/>
        <w:right w:val="none" w:sz="0" w:space="0" w:color="auto"/>
      </w:divBdr>
      <w:divsChild>
        <w:div w:id="1451242281">
          <w:marLeft w:val="0"/>
          <w:marRight w:val="0"/>
          <w:marTop w:val="0"/>
          <w:marBottom w:val="0"/>
          <w:divBdr>
            <w:top w:val="none" w:sz="0" w:space="0" w:color="auto"/>
            <w:left w:val="none" w:sz="0" w:space="0" w:color="auto"/>
            <w:bottom w:val="none" w:sz="0" w:space="0" w:color="auto"/>
            <w:right w:val="none" w:sz="0" w:space="0" w:color="auto"/>
          </w:divBdr>
        </w:div>
      </w:divsChild>
    </w:div>
    <w:div w:id="1335498094">
      <w:bodyDiv w:val="1"/>
      <w:marLeft w:val="0"/>
      <w:marRight w:val="0"/>
      <w:marTop w:val="0"/>
      <w:marBottom w:val="0"/>
      <w:divBdr>
        <w:top w:val="none" w:sz="0" w:space="0" w:color="auto"/>
        <w:left w:val="none" w:sz="0" w:space="0" w:color="auto"/>
        <w:bottom w:val="none" w:sz="0" w:space="0" w:color="auto"/>
        <w:right w:val="none" w:sz="0" w:space="0" w:color="auto"/>
      </w:divBdr>
      <w:divsChild>
        <w:div w:id="1414399285">
          <w:marLeft w:val="0"/>
          <w:marRight w:val="0"/>
          <w:marTop w:val="0"/>
          <w:marBottom w:val="0"/>
          <w:divBdr>
            <w:top w:val="none" w:sz="0" w:space="0" w:color="auto"/>
            <w:left w:val="none" w:sz="0" w:space="0" w:color="auto"/>
            <w:bottom w:val="none" w:sz="0" w:space="0" w:color="auto"/>
            <w:right w:val="none" w:sz="0" w:space="0" w:color="auto"/>
          </w:divBdr>
        </w:div>
      </w:divsChild>
    </w:div>
    <w:div w:id="1923106727">
      <w:bodyDiv w:val="1"/>
      <w:marLeft w:val="0"/>
      <w:marRight w:val="0"/>
      <w:marTop w:val="0"/>
      <w:marBottom w:val="0"/>
      <w:divBdr>
        <w:top w:val="none" w:sz="0" w:space="0" w:color="auto"/>
        <w:left w:val="none" w:sz="0" w:space="0" w:color="auto"/>
        <w:bottom w:val="none" w:sz="0" w:space="0" w:color="auto"/>
        <w:right w:val="none" w:sz="0" w:space="0" w:color="auto"/>
      </w:divBdr>
      <w:divsChild>
        <w:div w:id="507790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5307</Words>
  <Characters>30256</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USNCOMPUTERS</Company>
  <LinksUpToDate>false</LinksUpToDate>
  <CharactersWithSpaces>35493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USNCOMPUTERS</dc:creator>
  <cp:keywords/>
  <dc:description/>
  <cp:lastModifiedBy>1</cp:lastModifiedBy>
  <cp:revision>16</cp:revision>
  <dcterms:created xsi:type="dcterms:W3CDTF">2013-04-01T07:16:00Z</dcterms:created>
  <dcterms:modified xsi:type="dcterms:W3CDTF">2014-06-25T08:44:00Z</dcterms:modified>
</cp:coreProperties>
</file>